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876A9" w14:textId="77777777" w:rsidR="001B7EE9" w:rsidRDefault="00000000">
      <w:pPr>
        <w:pStyle w:val="Title"/>
      </w:pPr>
      <w:r>
        <w:t>Characterizing the Transcriptome of Turkey Hemorrhagic Enteritis Virus in a Turkey B-cell Line</w:t>
      </w:r>
    </w:p>
    <w:p w14:paraId="60ACFB46" w14:textId="77777777" w:rsidR="001B7EE9" w:rsidRDefault="00000000">
      <w:pPr>
        <w:pStyle w:val="FirstParagraph"/>
      </w:pPr>
      <w:r>
        <w:rPr>
          <w:b/>
          <w:bCs/>
        </w:rPr>
        <w:t>Running Title:</w:t>
      </w:r>
      <w:r>
        <w:t xml:space="preserve"> Novel Insights into Turkey Hemorrhagic Enteritis Virus Transcriptome</w:t>
      </w:r>
    </w:p>
    <w:p w14:paraId="67308A03" w14:textId="77777777" w:rsidR="001B7EE9" w:rsidRDefault="00000000">
      <w:pPr>
        <w:pStyle w:val="BodyText"/>
      </w:pPr>
      <w:r>
        <w:t>Abraham Quaye</w:t>
      </w:r>
      <w:r>
        <w:rPr>
          <w:vertAlign w:val="superscript"/>
        </w:rPr>
        <w:t>1*</w:t>
      </w:r>
      <w:r>
        <w:t>, Brett E. Pickett</w:t>
      </w:r>
      <w:r>
        <w:rPr>
          <w:vertAlign w:val="superscript"/>
        </w:rPr>
        <w:t>*</w:t>
      </w:r>
      <w:r>
        <w:t>, Joel S. Griffitts</w:t>
      </w:r>
      <w:r>
        <w:rPr>
          <w:vertAlign w:val="superscript"/>
        </w:rPr>
        <w:t>*</w:t>
      </w:r>
      <w:r>
        <w:t>, Bradford K. Berges</w:t>
      </w:r>
      <w:r>
        <w:rPr>
          <w:vertAlign w:val="superscript"/>
        </w:rPr>
        <w:t>*</w:t>
      </w:r>
      <w:r>
        <w:t>, Brian D. Poole</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rPr>
          <w:vertAlign w:val="superscript"/>
        </w:rPr>
        <w:t>*</w:t>
      </w:r>
    </w:p>
    <w:p w14:paraId="4C2B9046" w14:textId="77777777" w:rsidR="001B7EE9" w:rsidRDefault="00000000">
      <w:pPr>
        <w:pStyle w:val="BodyText"/>
      </w:pPr>
      <w:r>
        <w:rPr>
          <w:vertAlign w:val="superscript"/>
        </w:rPr>
        <w:t>*</w:t>
      </w:r>
      <w:r>
        <w:t>Department of Microbiology and Molecular Biology, Brigham Young University</w:t>
      </w:r>
      <w:r>
        <w:br/>
      </w:r>
      <w:r>
        <w:rPr>
          <w:vertAlign w:val="superscript"/>
        </w:rPr>
        <w:t>1</w:t>
      </w:r>
      <w:r>
        <w:t>First-author</w:t>
      </w:r>
      <w:r>
        <w:br/>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Corresponding Author</w:t>
      </w:r>
    </w:p>
    <w:p w14:paraId="3E4A9895" w14:textId="77777777" w:rsidR="001B7EE9" w:rsidRDefault="00000000">
      <w:pPr>
        <w:pStyle w:val="BodyText"/>
      </w:pPr>
      <w:r>
        <w:rPr>
          <w:b/>
          <w:bCs/>
        </w:rPr>
        <w:t>Corresponding Author Information</w:t>
      </w:r>
      <w:r>
        <w:br/>
      </w:r>
      <w:hyperlink r:id="rId7">
        <w:r>
          <w:rPr>
            <w:rStyle w:val="Hyperlink"/>
          </w:rPr>
          <w:t>brian_poole@byu.edu</w:t>
        </w:r>
      </w:hyperlink>
      <w:r>
        <w:br/>
        <w:t>Department of Microbiology and Molecular Biology,</w:t>
      </w:r>
      <w:r>
        <w:br/>
        <w:t>4007 Life Sciences Building (LSB),</w:t>
      </w:r>
      <w:r>
        <w:br/>
        <w:t>Brigham Young University,</w:t>
      </w:r>
      <w:r>
        <w:br/>
        <w:t>Provo, Utah</w:t>
      </w:r>
      <w:r>
        <w:br/>
      </w:r>
    </w:p>
    <w:p w14:paraId="60986859" w14:textId="77777777" w:rsidR="00490200" w:rsidRDefault="00490200">
      <w:pPr>
        <w:pStyle w:val="Heading2"/>
      </w:pPr>
      <w:bookmarkStart w:id="0" w:name="abstract"/>
    </w:p>
    <w:p w14:paraId="0AEA3361" w14:textId="77777777" w:rsidR="00490200" w:rsidRDefault="00490200">
      <w:pPr>
        <w:pStyle w:val="Heading2"/>
      </w:pPr>
    </w:p>
    <w:p w14:paraId="707B200C" w14:textId="77777777" w:rsidR="00490200" w:rsidRDefault="00490200">
      <w:pPr>
        <w:pStyle w:val="Heading2"/>
      </w:pPr>
    </w:p>
    <w:p w14:paraId="11FE6FED" w14:textId="77777777" w:rsidR="00490200" w:rsidRDefault="00490200">
      <w:pPr>
        <w:pStyle w:val="Heading2"/>
      </w:pPr>
    </w:p>
    <w:p w14:paraId="53384836" w14:textId="77777777" w:rsidR="00490200" w:rsidRDefault="00490200">
      <w:pPr>
        <w:pStyle w:val="Heading2"/>
      </w:pPr>
    </w:p>
    <w:p w14:paraId="7F5B72E5" w14:textId="77777777" w:rsidR="00490200" w:rsidRDefault="00490200">
      <w:pPr>
        <w:pStyle w:val="Heading2"/>
      </w:pPr>
    </w:p>
    <w:p w14:paraId="44CC3634" w14:textId="77777777" w:rsidR="00490200" w:rsidRDefault="00490200">
      <w:pPr>
        <w:pStyle w:val="Heading2"/>
      </w:pPr>
    </w:p>
    <w:p w14:paraId="6A6CF4F0" w14:textId="77777777" w:rsidR="00490200" w:rsidRPr="00490200" w:rsidRDefault="00490200" w:rsidP="00490200">
      <w:pPr>
        <w:pStyle w:val="BodyText"/>
      </w:pPr>
    </w:p>
    <w:p w14:paraId="4ECC6D16" w14:textId="03ED61C3" w:rsidR="001B7EE9" w:rsidRDefault="00000000">
      <w:pPr>
        <w:pStyle w:val="Heading2"/>
      </w:pPr>
      <w:r>
        <w:lastRenderedPageBreak/>
        <w:t>ABSTRACT</w:t>
      </w:r>
    </w:p>
    <w:p w14:paraId="1381C07C" w14:textId="77777777" w:rsidR="001B7EE9" w:rsidRDefault="00000000">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 </w:t>
      </w:r>
    </w:p>
    <w:p w14:paraId="73C20034" w14:textId="77777777" w:rsidR="001B7EE9" w:rsidRDefault="00000000">
      <w:pPr>
        <w:pStyle w:val="Heading2"/>
      </w:pPr>
      <w:bookmarkStart w:id="1" w:name="introduction"/>
      <w:bookmarkEnd w:id="0"/>
      <w:r>
        <w:lastRenderedPageBreak/>
        <w:t>INTRODUCTION</w:t>
      </w:r>
    </w:p>
    <w:p w14:paraId="748EBCB4" w14:textId="77777777" w:rsidR="001B7EE9" w:rsidRDefault="00000000">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 (1, 2). The AdV genome is one of the most optimally economized; both the forward and reverse DNA strands harbor protein-coding genes, making it highly gene-dense. There are 16 genes termed “genus-common” that are homologous in all AdVs; these are thought to be inherited from a common ancestor. All other genes are termed “genus-specific”. The genus-specific genes tend to be located at the termini of the genome while genus-common genes are usually towards the center of the genome (1). This pattern is also observed in </w:t>
      </w:r>
      <w:r>
        <w:rPr>
          <w:i/>
          <w:iCs/>
        </w:rPr>
        <w:t>Poxviridae</w:t>
      </w:r>
      <w:r>
        <w:t xml:space="preserve"> and </w:t>
      </w:r>
      <w:r>
        <w:rPr>
          <w:i/>
          <w:iCs/>
        </w:rPr>
        <w:t>Herpesviridae</w:t>
      </w:r>
      <w:r>
        <w:t xml:space="preserve">, which also have linear DNA genomes (1, 3, 4). The family </w:t>
      </w:r>
      <w:r>
        <w:rPr>
          <w:i/>
          <w:iCs/>
        </w:rPr>
        <w:t>Adenoviridae</w:t>
      </w:r>
      <w:r>
        <w:t xml:space="preserve"> consists of five genera: </w:t>
      </w:r>
      <w:r>
        <w:rPr>
          <w:i/>
          <w:iCs/>
        </w:rPr>
        <w:t>Mastadenovirus</w:t>
      </w:r>
      <w:r>
        <w:t xml:space="preserve"> (</w:t>
      </w:r>
      <w:proofErr w:type="spellStart"/>
      <w:r>
        <w:t>MAdV</w:t>
      </w:r>
      <w:proofErr w:type="spellEnd"/>
      <w:r>
        <w:t xml:space="preserve">), </w:t>
      </w:r>
      <w:r>
        <w:rPr>
          <w:i/>
          <w:iCs/>
        </w:rPr>
        <w:t>Aviadenovirus</w:t>
      </w:r>
      <w:r>
        <w:t xml:space="preserve">, </w:t>
      </w:r>
      <w:r>
        <w:rPr>
          <w:i/>
          <w:iCs/>
        </w:rPr>
        <w:t>Atadenovirus</w:t>
      </w:r>
      <w:r>
        <w:t xml:space="preserve">, </w:t>
      </w:r>
      <w:r>
        <w:rPr>
          <w:i/>
          <w:iCs/>
        </w:rPr>
        <w:t>Ichtadenovirus</w:t>
      </w:r>
      <w:r>
        <w:t xml:space="preserve">, and </w:t>
      </w:r>
      <w:r>
        <w:rPr>
          <w:i/>
          <w:iCs/>
        </w:rPr>
        <w:t>Siadenovirus</w:t>
      </w:r>
      <w:r>
        <w:t xml:space="preserve"> (</w:t>
      </w:r>
      <w:proofErr w:type="spellStart"/>
      <w:r>
        <w:t>SiAdV</w:t>
      </w:r>
      <w:proofErr w:type="spellEnd"/>
      <w:r>
        <w:t xml:space="preserve">) to which turkey adenovirus 3 also called turkey hemorrhagic enteritis virus (THEV) belongs (5–10). Members of </w:t>
      </w:r>
      <w:proofErr w:type="spellStart"/>
      <w:r>
        <w:t>SiAdV</w:t>
      </w:r>
      <w:proofErr w:type="spellEnd"/>
      <w:r>
        <w:t xml:space="preserve"> have the smallest genome size (~26 kb) and gene content of all known AdVs (see </w:t>
      </w:r>
      <w:r>
        <w:rPr>
          <w:b/>
          <w:bCs/>
        </w:rPr>
        <w:t>Figure 1</w:t>
      </w:r>
      <w:r>
        <w:t>) (1, 2, 6).</w:t>
      </w:r>
    </w:p>
    <w:p w14:paraId="22EA424C" w14:textId="77777777" w:rsidR="001B7EE9" w:rsidRDefault="00000000">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 (2, 11–13).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 (11, 14–16). To eliminate the </w:t>
      </w:r>
      <w:proofErr w:type="spellStart"/>
      <w:r>
        <w:t>immunossupressive</w:t>
      </w:r>
      <w:proofErr w:type="spellEnd"/>
      <w:r>
        <w:t xml:space="preserve"> effect of the vaccine strain, a thorough investigation of the culprit viral genes mediating this phenomenon is essential. However, the transcriptome (splicing and gene expression patterns) </w:t>
      </w:r>
      <w:r>
        <w:lastRenderedPageBreak/>
        <w:t>of THEV has not been characterized, making an investigation of specific IS-related viral genes impractical.</w:t>
      </w:r>
    </w:p>
    <w:p w14:paraId="0FFE2FA9" w14:textId="77777777" w:rsidR="001B7EE9" w:rsidRDefault="00000000">
      <w:pPr>
        <w:pStyle w:val="BodyText"/>
      </w:pPr>
      <w:r>
        <w:t xml:space="preserve">A myriad of studies have elucidated the AdV transcriptome in fine detail (17, 18). However, a large preponderance of studies focus on </w:t>
      </w:r>
      <w:proofErr w:type="spellStart"/>
      <w:r>
        <w:t>MAdVs</w:t>
      </w:r>
      <w:proofErr w:type="spellEnd"/>
      <w:r>
        <w:t xml:space="preserve"> – specifically human AdVs. Thus, most of the current knowledge regarding AdV gene expression and replication is based on </w:t>
      </w:r>
      <w:proofErr w:type="spellStart"/>
      <w:r>
        <w:t>MAdV</w:t>
      </w:r>
      <w:proofErr w:type="spellEnd"/>
      <w:r>
        <w:t xml:space="preserve"> studies, which is generalized for all other AdVs (10, 19). </w:t>
      </w:r>
      <w:proofErr w:type="spellStart"/>
      <w:r>
        <w:t>MAdV</w:t>
      </w:r>
      <w:proofErr w:type="spellEnd"/>
      <w:r>
        <w:t xml:space="preserve"> transcription is temporally regulated; therefore, genes are categorized into five early transcription units (E1A, E1B, E2, E3, and E4), two intermediate (IM) units (</w:t>
      </w:r>
      <w:proofErr w:type="spellStart"/>
      <w:r>
        <w:t>pIX</w:t>
      </w:r>
      <w:proofErr w:type="spellEnd"/>
      <w:r>
        <w:t xml:space="preserve">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w:t>
      </w:r>
      <w:proofErr w:type="spellStart"/>
      <w:r>
        <w:t>pIX</w:t>
      </w:r>
      <w:proofErr w:type="spellEnd"/>
      <w:r>
        <w:t xml:space="preserve"> are expressed followed by the late genes (10, 17, 18).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 (10). </w:t>
      </w:r>
      <w:proofErr w:type="spellStart"/>
      <w:r>
        <w:t>MAdV</w:t>
      </w:r>
      <w:proofErr w:type="spellEnd"/>
      <w:r>
        <w:t xml:space="preserve"> makes an extensive use of alternative RNA splicing to produce a very complex array of mRNAs. All but the </w:t>
      </w:r>
      <w:proofErr w:type="spellStart"/>
      <w:r>
        <w:t>pIX</w:t>
      </w:r>
      <w:proofErr w:type="spellEnd"/>
      <w:r>
        <w:t xml:space="preserve"> mRNA undergo at least one splicing event. For instance, the MLTU produces over 20 distinct splice variants all of which contain three non-coding exons at the 5’-end (collectively known as the tripartite leader; TPL) (17, 18). There is also an alternate three-exon 5’ non-coding leader sequence present in varying amounts on a subset of MLTU mRNAs (known as the x-, y-, and z-leaders). Lastly, there is the </w:t>
      </w:r>
      <w:proofErr w:type="spellStart"/>
      <w:r>
        <w:lastRenderedPageBreak/>
        <w:t>i</w:t>
      </w:r>
      <w:proofErr w:type="spellEnd"/>
      <w:r>
        <w:t xml:space="preserve">-leader exon, which is infrequently included between the second and third TPL exons, and codes for the </w:t>
      </w:r>
      <w:proofErr w:type="spellStart"/>
      <w:r>
        <w:t>i</w:t>
      </w:r>
      <w:proofErr w:type="spellEnd"/>
      <w:r>
        <w:t>-leader protein (20).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 (10, 17, 18).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 (10, 17, 21). During translation of AdV mRNA, recent studies using long-read direct RNA sequencing strongly suggest the potential usage of secondary start codons; adding to what was already a highly complex system for gene expression (17, 22).</w:t>
      </w:r>
    </w:p>
    <w:p w14:paraId="257715E7" w14:textId="77777777" w:rsidR="001B7EE9" w:rsidRDefault="00000000">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 (18, 22, 23). In this paper, we use a paired-end deep sequencing experiment to characterize, for the first time, the transcriptome and splicing of THEV (VAS vaccine strain) during different phases of the infection. Our paired-end sequencing allowed for reading 149 bp long high quality (mean </w:t>
      </w:r>
      <w:proofErr w:type="spellStart"/>
      <w:r>
        <w:t>Phred</w:t>
      </w:r>
      <w:proofErr w:type="spellEnd"/>
      <w:r>
        <w:t xml:space="preserve"> Score of 36) sequences from each end of cDNA fragments, which were mapped to the genome of THEV. </w:t>
      </w:r>
    </w:p>
    <w:p w14:paraId="22F7FEB3" w14:textId="77777777" w:rsidR="00490200" w:rsidRDefault="00490200">
      <w:pPr>
        <w:pStyle w:val="Heading2"/>
      </w:pPr>
      <w:bookmarkStart w:id="2" w:name="results"/>
      <w:bookmarkEnd w:id="1"/>
    </w:p>
    <w:p w14:paraId="50D5DD91" w14:textId="77777777" w:rsidR="00490200" w:rsidRDefault="00490200">
      <w:pPr>
        <w:pStyle w:val="Heading2"/>
      </w:pPr>
    </w:p>
    <w:p w14:paraId="7EE102BE" w14:textId="77777777" w:rsidR="00490200" w:rsidRPr="00490200" w:rsidRDefault="00490200" w:rsidP="00490200">
      <w:pPr>
        <w:pStyle w:val="BodyText"/>
      </w:pPr>
    </w:p>
    <w:p w14:paraId="648FF889" w14:textId="6BDB22E0" w:rsidR="001B7EE9" w:rsidRDefault="00000000">
      <w:pPr>
        <w:pStyle w:val="Heading2"/>
      </w:pPr>
      <w:r>
        <w:lastRenderedPageBreak/>
        <w:t>RESULTS</w:t>
      </w:r>
    </w:p>
    <w:p w14:paraId="023E93C3" w14:textId="77777777" w:rsidR="001B7EE9" w:rsidRDefault="00000000">
      <w:pPr>
        <w:pStyle w:val="FirstParagraph"/>
      </w:pPr>
      <w:r>
        <w:rPr>
          <w:b/>
          <w:bCs/>
        </w:rPr>
        <w:t>Overview of sequencing data and analysis pipeline outputs</w:t>
      </w:r>
      <w:r>
        <w:br/>
        <w:t xml:space="preserve">A previous study by </w:t>
      </w:r>
      <w:proofErr w:type="spellStart"/>
      <w:r>
        <w:t>Aboezz</w:t>
      </w:r>
      <w:proofErr w:type="spellEnd"/>
      <w:r>
        <w:t xml:space="preserve"> </w:t>
      </w:r>
      <w:r>
        <w:rPr>
          <w:i/>
          <w:iCs/>
        </w:rPr>
        <w:t>et al</w:t>
      </w:r>
      <w:r>
        <w:t xml:space="preserve"> showed that almost all THEV transcripts were detectable beginning at 4 hours, with a full replication cycle of about 18-hours post infection (</w:t>
      </w:r>
      <w:proofErr w:type="spellStart"/>
      <w:r>
        <w:t>hpi</w:t>
      </w:r>
      <w:proofErr w:type="spellEnd"/>
      <w:r>
        <w:t>) (24).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Meleagris gallopavo</w:t>
      </w:r>
      <w:r>
        <w:t xml:space="preserve">) genomes using the Hisat2 (25) reference-based aligner. A total of 18.1 million reads from all time-points mapped to the virus genome; this provided good coverage/depth, leaving no regions unmapped. The mapped reads to the virus genome increased substantially from a mere 432 reads at 4 </w:t>
      </w:r>
      <w:proofErr w:type="spellStart"/>
      <w:r>
        <w:t>hpi</w:t>
      </w:r>
      <w:proofErr w:type="spellEnd"/>
      <w:r>
        <w:t xml:space="preserve"> to 16.9 million reads at 72 </w:t>
      </w:r>
      <w:proofErr w:type="spellStart"/>
      <w:r>
        <w:t>hpi</w:t>
      </w:r>
      <w:proofErr w:type="spellEnd"/>
      <w:r>
        <w:t xml:space="preserve"> (</w:t>
      </w:r>
      <w:r>
        <w:rPr>
          <w:b/>
          <w:bCs/>
        </w:rPr>
        <w:t>Table 1</w:t>
      </w:r>
      <w:r>
        <w:t xml:space="preserve">, </w:t>
      </w:r>
      <w:r>
        <w:rPr>
          <w:b/>
          <w:bCs/>
        </w:rPr>
        <w:t>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w:t>
      </w:r>
      <w:proofErr w:type="spellStart"/>
      <w:r>
        <w:t>hpi</w:t>
      </w:r>
      <w:proofErr w:type="spellEnd"/>
      <w:r>
        <w:t xml:space="preserve"> had less than 10 reads supporting each one, averaging a mere 2.8 reads per junction. Conversely, the 2,374 unique junctions at 72 </w:t>
      </w:r>
      <w:proofErr w:type="spellStart"/>
      <w:r>
        <w:t>hpi</w:t>
      </w:r>
      <w:proofErr w:type="spellEnd"/>
      <w:r>
        <w:t xml:space="preserve"> averaged 898.4 reads per junction, some junctions having coverage as high as 322,677 reads. The substantial increases in splice junction and mapping reads to the THEV genome over time denotes an active infection and a successful viral </w:t>
      </w:r>
      <w:proofErr w:type="gramStart"/>
      <w:r>
        <w:t>replication, and</w:t>
      </w:r>
      <w:proofErr w:type="gramEnd"/>
      <w:r>
        <w:t xml:space="preserve"> correlates with our quantitative PCR (qPCR) assay quantifying the total number of viral genome copies over time (</w:t>
      </w:r>
      <w:r>
        <w:rPr>
          <w:b/>
          <w:bCs/>
        </w:rPr>
        <w:t>Figure 2B</w:t>
      </w:r>
      <w:r>
        <w:t>).</w:t>
      </w:r>
    </w:p>
    <w:p w14:paraId="35B75A36" w14:textId="77777777" w:rsidR="001B7EE9" w:rsidRDefault="00000000">
      <w:pPr>
        <w:pStyle w:val="BodyText"/>
      </w:pPr>
      <w:r>
        <w:t xml:space="preserve">Using StringTie (25),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w:t>
      </w:r>
      <w:r>
        <w:lastRenderedPageBreak/>
        <w:t>exactly, with the majority of the exons being longer and spanning multiple predicted ORFs (</w:t>
      </w:r>
      <w:r>
        <w:rPr>
          <w:b/>
          <w:bCs/>
        </w:rPr>
        <w:t>Figure 3</w:t>
      </w:r>
      <w:r>
        <w:t>).</w:t>
      </w:r>
    </w:p>
    <w:p w14:paraId="560C9033" w14:textId="77777777" w:rsidR="001B7EE9" w:rsidRDefault="00000000">
      <w:pPr>
        <w:pStyle w:val="BodyText"/>
      </w:pPr>
      <w:r>
        <w:t>We then validated the splice junctions in all transcripts by PCR amplification of viral cDNA, cloning, and Sanger sequencing (</w:t>
      </w:r>
      <w:r>
        <w:rPr>
          <w:b/>
          <w:bCs/>
        </w:rPr>
        <w:t>Supplementary PCR methods</w:t>
      </w:r>
      <w:r>
        <w:t>).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8">
        <w:r>
          <w:rPr>
            <w:rStyle w:val="Hyperlink"/>
          </w:rPr>
          <w:t>http://www.ncbi.nlm.nih.gov/geo</w:t>
        </w:r>
      </w:hyperlink>
      <w:r>
        <w:t>) under accession number GSE254416.</w:t>
      </w:r>
    </w:p>
    <w:p w14:paraId="3B04E96B" w14:textId="77777777" w:rsidR="001B7EE9" w:rsidRDefault="00000000">
      <w:pPr>
        <w:pStyle w:val="BodyText"/>
      </w:pPr>
      <w:r>
        <w:rPr>
          <w:b/>
          <w:bCs/>
        </w:rPr>
        <w:t>Changes in THEV splicing profile over time</w:t>
      </w:r>
      <w:r>
        <w:b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 (26) were used to estimate the normalized expression levels of all transcripts for each time point in Fragments Per Kilobase of transcript per Million mapped reads (FPKM) units. Very few unique splice junctions, reads, and transcripts were counted at 4 </w:t>
      </w:r>
      <w:proofErr w:type="spellStart"/>
      <w:r>
        <w:t>hpi</w:t>
      </w:r>
      <w:proofErr w:type="spellEnd"/>
      <w:r>
        <w:t>; hence, this time point was excluded in this analysis.</w:t>
      </w:r>
    </w:p>
    <w:p w14:paraId="467B6F22" w14:textId="77777777" w:rsidR="001B7EE9" w:rsidRDefault="00000000">
      <w:pPr>
        <w:pStyle w:val="BodyText"/>
      </w:pPr>
      <w:r>
        <w:t xml:space="preserve">Considering individual mRNAs, TRXPT_21 – from the E2 region – was the most significantly expressed at 12 </w:t>
      </w:r>
      <w:proofErr w:type="spellStart"/>
      <w:r>
        <w:t>hpi</w:t>
      </w:r>
      <w:proofErr w:type="spellEnd"/>
      <w:r>
        <w:t xml:space="preserve">,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w:t>
      </w:r>
      <w:proofErr w:type="spellStart"/>
      <w:r>
        <w:t>hpi</w:t>
      </w:r>
      <w:proofErr w:type="spellEnd"/>
      <w:r>
        <w:t>, respectively, as expected (</w:t>
      </w:r>
      <w:r>
        <w:rPr>
          <w:b/>
          <w:bCs/>
        </w:rPr>
        <w:t>Figure 4A</w:t>
      </w:r>
      <w:r>
        <w:t xml:space="preserve">). When we performed analysis of the FPKM values of transcripts per region we found a similar pattern: the E2 region was the most abundantly expressed at 12 </w:t>
      </w:r>
      <w:proofErr w:type="spellStart"/>
      <w:r>
        <w:t>hpi</w:t>
      </w:r>
      <w:proofErr w:type="spellEnd"/>
      <w:r>
        <w:t>, after which the MLP region assumes predominance (</w:t>
      </w:r>
      <w:r>
        <w:rPr>
          <w:b/>
          <w:bCs/>
        </w:rPr>
        <w:t>Figure 4B</w:t>
      </w:r>
      <w:r>
        <w:t xml:space="preserve">). Secondly, we estimated </w:t>
      </w:r>
      <w:r>
        <w:lastRenderedPageBreak/>
        <w:t xml:space="preserve">relative abundances of all splice junctions at each time point using the raw reads. Only junctions with a read coverage of at least 1% of the total splice junction reads at the given time point were considered significant and included in </w:t>
      </w:r>
      <w:r>
        <w:rPr>
          <w:b/>
          <w:bCs/>
        </w:rPr>
        <w:t>Tables 2a-2c</w:t>
      </w:r>
      <w:r>
        <w:t xml:space="preserve">. At 12 </w:t>
      </w:r>
      <w:proofErr w:type="spellStart"/>
      <w:r>
        <w:t>hpi</w:t>
      </w:r>
      <w:proofErr w:type="spellEnd"/>
      <w:r>
        <w:t>, 18 junctions meet the 1% threshold, and were comprised of predominantly early region (E1, E2, E3, and E4) junctions, albeit the MLTU was the single most preponderant region overall, constituting 38.8% of all the junction reads (</w:t>
      </w:r>
      <w:r>
        <w:rPr>
          <w:b/>
          <w:bCs/>
        </w:rPr>
        <w:t>Table 2a</w:t>
      </w:r>
      <w:r>
        <w:t xml:space="preserve"> and </w:t>
      </w:r>
      <w:r>
        <w:rPr>
          <w:b/>
          <w:bCs/>
        </w:rPr>
        <w:t>Supplementary Table S1a</w:t>
      </w:r>
      <w:r>
        <w:t xml:space="preserve">). The most abundant junctions at 12 </w:t>
      </w:r>
      <w:proofErr w:type="spellStart"/>
      <w:r>
        <w:t>hpi</w:t>
      </w:r>
      <w:proofErr w:type="spellEnd"/>
      <w:r>
        <w:t xml:space="preserve"> remained the most significantly expressed at 24 </w:t>
      </w:r>
      <w:proofErr w:type="spellStart"/>
      <w:r>
        <w:t>hpi</w:t>
      </w:r>
      <w:proofErr w:type="spellEnd"/>
      <w:r>
        <w:t xml:space="preserve"> also. However, here, the MLP-derived junctions were unsurprisingly even more preponderant overall, accounting for 45.7% of all the junction reads counted (</w:t>
      </w:r>
      <w:r>
        <w:rPr>
          <w:b/>
          <w:bCs/>
        </w:rPr>
        <w:t>Table 2b</w:t>
      </w:r>
      <w:r>
        <w:t xml:space="preserve"> and </w:t>
      </w:r>
      <w:r>
        <w:rPr>
          <w:b/>
          <w:bCs/>
        </w:rPr>
        <w:t>Supplementary Table S1b</w:t>
      </w:r>
      <w:r>
        <w:t xml:space="preserve">). At 72 </w:t>
      </w:r>
      <w:proofErr w:type="spellStart"/>
      <w:r>
        <w:t>hpi</w:t>
      </w:r>
      <w:proofErr w:type="spellEnd"/>
      <w:r>
        <w:t>, the trend of increased activity of the MLP continued as expected; at this time, the MLP region junctions were not only the most abundant overall – accounting for 67.5% of all junction reads, – but also contained the most significantly expressed individual junctions (</w:t>
      </w:r>
      <w:r>
        <w:rPr>
          <w:b/>
          <w:bCs/>
        </w:rPr>
        <w:t>Table 2c</w:t>
      </w:r>
      <w:r>
        <w:t xml:space="preserve">, </w:t>
      </w:r>
      <w:r>
        <w:rPr>
          <w:b/>
          <w:bCs/>
        </w:rPr>
        <w:t>Supplementary Table S1c</w:t>
      </w:r>
      <w:r>
        <w:t xml:space="preserve"> and </w:t>
      </w:r>
      <w:r>
        <w:rPr>
          <w:b/>
          <w:bCs/>
        </w:rPr>
        <w:t>Figure 4C</w:t>
      </w:r>
      <w:r>
        <w:t>). When we limited this analysis to only junctions in the final transcriptome, we observed the relative abundances of the junctions for each region over time to be similar to the pattern seen with all the junctions included (</w:t>
      </w:r>
      <w:r>
        <w:rPr>
          <w:b/>
          <w:bCs/>
        </w:rPr>
        <w:t>Figure 4D</w:t>
      </w:r>
      <w:r>
        <w:t>).</w:t>
      </w:r>
    </w:p>
    <w:p w14:paraId="08634D36" w14:textId="77777777" w:rsidR="001B7EE9" w:rsidRDefault="00000000">
      <w:pPr>
        <w:pStyle w:val="BodyText"/>
      </w:pPr>
      <w:r>
        <w:t>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Figure 5</w:t>
      </w:r>
      <w:r>
        <w:t>).</w:t>
      </w:r>
    </w:p>
    <w:p w14:paraId="6495CCA2" w14:textId="77777777" w:rsidR="001B7EE9" w:rsidRDefault="00000000">
      <w:pPr>
        <w:pStyle w:val="BodyText"/>
      </w:pPr>
      <w:r>
        <w:rPr>
          <w:b/>
          <w:bCs/>
        </w:rPr>
        <w:t>Early Region 1 (E1) transcripts</w:t>
      </w:r>
      <w:r>
        <w:br/>
        <w:t xml:space="preserve">This region in </w:t>
      </w:r>
      <w:proofErr w:type="spellStart"/>
      <w:r>
        <w:t>MAdVs</w:t>
      </w:r>
      <w:proofErr w:type="spellEnd"/>
      <w:r>
        <w:t xml:space="preserve"> is the first transcribed after successful entry of the viral DNA into the host cell nucleus, albeit at low levels (18). The host transcription machinery solely mediates the transcription of this region. After their translation, the E1 proteins in concert with a myriad of host transcription factors activate other viral promoters (10). In </w:t>
      </w:r>
      <w:proofErr w:type="spellStart"/>
      <w:r>
        <w:t>MAdVs</w:t>
      </w:r>
      <w:proofErr w:type="spellEnd"/>
      <w:r>
        <w:t xml:space="preserve">, this region is subdivided </w:t>
      </w:r>
      <w:r>
        <w:lastRenderedPageBreak/>
        <w:t>into E1a and E2b units, but the transcripts found in our data categorized under this region do not appear to be subdivided.</w:t>
      </w:r>
    </w:p>
    <w:p w14:paraId="61D84FA5" w14:textId="77777777" w:rsidR="001B7EE9" w:rsidRDefault="00000000">
      <w:pPr>
        <w:pStyle w:val="BodyText"/>
      </w:pPr>
      <w:r>
        <w:t xml:space="preserve">Only two ORFs (ORF1 [sialidase] and </w:t>
      </w:r>
      <w:proofErr w:type="spellStart"/>
      <w:r>
        <w:t>Hyd</w:t>
      </w:r>
      <w:proofErr w:type="spellEnd"/>
      <w:r>
        <w:t>) are predicted in this region; however, we discovered four novel transcripts in this region, which collectively contain 3 unique splice junctions (</w:t>
      </w:r>
      <w:r>
        <w:rPr>
          <w:b/>
          <w:bCs/>
        </w:rPr>
        <w:t>Figure 6</w:t>
      </w:r>
      <w:r>
        <w:t xml:space="preserve">). Most of the ORFs of the novel transcripts are distinct from the predicted ORFs, but they all have the coding potential (CP) for the predicted </w:t>
      </w:r>
      <w:proofErr w:type="spellStart"/>
      <w:r>
        <w:t>Hyd</w:t>
      </w:r>
      <w:proofErr w:type="spellEnd"/>
      <w:r>
        <w:t xml:space="preserve"> protein as the 3’-most coding sequence (CDS) if secondary start codon usage is considered as reported for other AdVs (17, 18). The 5’-most CDS of TRXPT_1 is multi-</w:t>
      </w:r>
      <w:proofErr w:type="spellStart"/>
      <w:r>
        <w:t>exonic</w:t>
      </w:r>
      <w:proofErr w:type="spellEnd"/>
      <w:r>
        <w:t>, encoding a novel 17.9 kilodalton (</w:t>
      </w:r>
      <w:proofErr w:type="spellStart"/>
      <w:r>
        <w:t>kDa</w:t>
      </w:r>
      <w:proofErr w:type="spellEnd"/>
      <w:r>
        <w:t xml:space="preserve">), 160 residue [amino acids (aa)] protein (ORF9). From its 5’-most start codon (SC), TRXPT_2 encodes the largest protein in this region – a 64.3 </w:t>
      </w:r>
      <w:proofErr w:type="spellStart"/>
      <w:r>
        <w:t>kDa</w:t>
      </w:r>
      <w:proofErr w:type="spellEnd"/>
      <w:r>
        <w:t xml:space="preserve">, 580 aa protein (ORF10) with the same SC as ORF9 (position 211 bp). ORF10 spans almost the entire predicted ORF1 and </w:t>
      </w:r>
      <w:proofErr w:type="spellStart"/>
      <w:r>
        <w:t>Hyd</w:t>
      </w:r>
      <w:proofErr w:type="spellEnd"/>
      <w:r>
        <w:t xml:space="preserve">, coming short in two regards: it is spliced from 1655 bp to 1964 bp (ORF1’s C-terminus, including the stop codon), and its stop codon (STC; position 2312) is 13 bp short of the </w:t>
      </w:r>
      <w:proofErr w:type="spellStart"/>
      <w:r>
        <w:t>Hyd</w:t>
      </w:r>
      <w:proofErr w:type="spellEnd"/>
      <w:r>
        <w:t xml:space="preserve"> STC. However, it has an SC 102 bp upstream and in-frame with ORF1’s predicted SC. Thus, ORF10 shares substantial protein sequence similarity with ORF1 but not with </w:t>
      </w:r>
      <w:proofErr w:type="spellStart"/>
      <w:r>
        <w:t>Hyd</w:t>
      </w:r>
      <w:proofErr w:type="spellEnd"/>
      <w:r>
        <w:t xml:space="preserve">, as the SC of </w:t>
      </w:r>
      <w:proofErr w:type="spellStart"/>
      <w:r>
        <w:t>Hyd</w:t>
      </w:r>
      <w:proofErr w:type="spellEnd"/>
      <w:r>
        <w:t xml:space="preserve">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w:t>
      </w:r>
      <w:proofErr w:type="spellStart"/>
      <w:r>
        <w:t>MAdVs</w:t>
      </w:r>
      <w:proofErr w:type="spellEnd"/>
      <w:r>
        <w:t xml:space="preserve"> show that E1 mRNAs share not only a common TTS but also the TSS, and only differ from each other regarding the internal splicing (18), it is likely that TRXPT_3 and TRXPT_4 are incomplete, and their actual TSS just like the TTS are identical for all E1 transcripts. Regardless of the TSS considered for TRXPT_3, the CP remains unaffected. Its 5’-most CDS, beginning at 1965 bp and sharing the same STC as </w:t>
      </w:r>
      <w:r>
        <w:lastRenderedPageBreak/>
        <w:t xml:space="preserve">ORF9, produces a 13.1 </w:t>
      </w:r>
      <w:proofErr w:type="spellStart"/>
      <w:r>
        <w:t>kDa</w:t>
      </w:r>
      <w:proofErr w:type="spellEnd"/>
      <w:r>
        <w:t>, 115 residue protein (ORF4). ORF4 was predicted in an earlier study (27) but was excluded in later studies (1, 12);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w:t>
      </w:r>
      <w:proofErr w:type="spellStart"/>
      <w:r>
        <w:t>exonic</w:t>
      </w:r>
      <w:proofErr w:type="spellEnd"/>
      <w:r>
        <w:t xml:space="preserve"> 15.9 </w:t>
      </w:r>
      <w:proofErr w:type="spellStart"/>
      <w:r>
        <w:t>kDa</w:t>
      </w:r>
      <w:proofErr w:type="spellEnd"/>
      <w:r>
        <w:t>, 143 aa protein (ORF11) with the same SC as ORF9 and ORF10 but with a unique STC.</w:t>
      </w:r>
    </w:p>
    <w:p w14:paraId="42746341" w14:textId="77777777" w:rsidR="001B7EE9" w:rsidRDefault="00000000">
      <w:pPr>
        <w:pStyle w:val="BodyText"/>
      </w:pPr>
      <w:r>
        <w:t>The splice junctions of all transcripts in this region (except the junction for TRXPT_4) were validated by cloning of viral cDNA and Sanger sequencing (</w:t>
      </w:r>
      <w:r>
        <w:rPr>
          <w:b/>
          <w:bCs/>
        </w:rPr>
        <w:t>Supplementary PCR methods</w:t>
      </w:r>
      <w:r>
        <w:t>). During the validation of TRXPT_2, we found ORF1 to be present on the agarose gel (an unspliced band size) and Sanger sequencing results showed it to be a transcribed mRNA (</w:t>
      </w:r>
      <w:r>
        <w:rPr>
          <w:b/>
          <w:bCs/>
        </w:rPr>
        <w:t>Supplementary PCR methods</w:t>
      </w:r>
      <w:r>
        <w:t xml:space="preserve">). This was corroborated by our 3’ RACE experiment, which showed a transcript (TRXPT_2B) spanning the entire ORF1 and </w:t>
      </w:r>
      <w:proofErr w:type="spellStart"/>
      <w:r>
        <w:t>Hyd</w:t>
      </w:r>
      <w:proofErr w:type="spellEnd"/>
      <w:r>
        <w:t xml:space="preserve">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14:paraId="06108730" w14:textId="77777777" w:rsidR="001B7EE9" w:rsidRDefault="00000000">
      <w:pPr>
        <w:pStyle w:val="BodyText"/>
      </w:pPr>
      <w:r>
        <w:rPr>
          <w:b/>
          <w:bCs/>
        </w:rPr>
        <w:t>Early Region 2 (E2) and Intermediate Region (IM) transcripts</w:t>
      </w:r>
      <w:r>
        <w:br/>
        <w:t xml:space="preserve">The E2 TU expressed on the anti-sense strand is subdivided into E2A and E2B and encodes three classical AdV proteins – pTP and Ad-pol (E2B proteins), and DBP (E2A protein) – essential for genome replication (17, 18). Unlike </w:t>
      </w:r>
      <w:proofErr w:type="spellStart"/>
      <w:r>
        <w:t>MAdV</w:t>
      </w:r>
      <w:proofErr w:type="spellEnd"/>
      <w:r>
        <w:t xml:space="preserve"> where two promoters (E2-early and E2-late) are known (17), we discovered only a single TSS (E2 TSS; 18,751 bp) from which both E2A and E2B transcription is initiated. However, similar to </w:t>
      </w:r>
      <w:proofErr w:type="spellStart"/>
      <w:r>
        <w:t>MAdVs</w:t>
      </w:r>
      <w:proofErr w:type="spellEnd"/>
      <w:r>
        <w:t>, E2A and E2B transcripts have distinct TTSs, and the E2B transcripts share the TTS of the IVa2 transcript of the IM region (17, 18) (</w:t>
      </w:r>
      <w:r>
        <w:rPr>
          <w:b/>
          <w:bCs/>
        </w:rPr>
        <w:t>Figure 7</w:t>
      </w:r>
      <w:r>
        <w:t>).</w:t>
      </w:r>
    </w:p>
    <w:p w14:paraId="431EF65B" w14:textId="77777777" w:rsidR="001B7EE9" w:rsidRDefault="00000000">
      <w:pPr>
        <w:pStyle w:val="BodyText"/>
      </w:pPr>
      <w:r>
        <w:lastRenderedPageBreak/>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w:t>
      </w:r>
      <w:proofErr w:type="spellStart"/>
      <w:r>
        <w:t>kDa</w:t>
      </w:r>
      <w:proofErr w:type="spellEnd"/>
      <w:r>
        <w:t>)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w:t>
      </w:r>
      <w:proofErr w:type="spellStart"/>
      <w:r>
        <w:t>tDBP</w:t>
      </w:r>
      <w:proofErr w:type="spellEnd"/>
      <w:r>
        <w:t xml:space="preserve">) because the SC utilized by TRXPT_21, is followed shortly by STCs in the retained intron. The SC 173 bp downstream of the DBP SC yields </w:t>
      </w:r>
      <w:proofErr w:type="spellStart"/>
      <w:r>
        <w:t>tDBP</w:t>
      </w:r>
      <w:proofErr w:type="spellEnd"/>
      <w:r>
        <w:t xml:space="preserve"> (a 346 residue, 39.3 </w:t>
      </w:r>
      <w:proofErr w:type="spellStart"/>
      <w:r>
        <w:t>kDa</w:t>
      </w:r>
      <w:proofErr w:type="spellEnd"/>
      <w:r>
        <w:t xml:space="preserve">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Figure 7</w:t>
      </w:r>
      <w:r>
        <w:t>).</w:t>
      </w:r>
    </w:p>
    <w:p w14:paraId="15DDEA8F" w14:textId="77777777" w:rsidR="001B7EE9" w:rsidRDefault="00000000">
      <w:pPr>
        <w:pStyle w:val="BodyText"/>
      </w:pPr>
      <w:r>
        <w:t>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w:t>
      </w:r>
      <w:r>
        <w:lastRenderedPageBreak/>
        <w:t xml:space="preserve">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w:t>
      </w:r>
      <w:proofErr w:type="spellStart"/>
      <w:r>
        <w:t>kDa</w:t>
      </w:r>
      <w:proofErr w:type="spellEnd"/>
      <w:r>
        <w:t>). If secondary SC (</w:t>
      </w:r>
      <w:proofErr w:type="spellStart"/>
      <w:r>
        <w:t>secSC</w:t>
      </w:r>
      <w:proofErr w:type="spellEnd"/>
      <w:r>
        <w:t xml:space="preserve">) usage is considered, with SC at 6768 bp and STC at 3430 bp, the encoded product is identical to the predicted Ad-pol (polymerase) protein (1112 residues; 129.2 </w:t>
      </w:r>
      <w:proofErr w:type="spellStart"/>
      <w:r>
        <w:t>kDa</w:t>
      </w:r>
      <w:proofErr w:type="spellEnd"/>
      <w:r>
        <w:t xml:space="preserve">). TRXPT_6 differs from TRXPT_7 by containing an extra splice site at 3447-3515 bp. However, the CP remains similar to that of TRXPT_7 except the Ad-pol encoded from the </w:t>
      </w:r>
      <w:proofErr w:type="spellStart"/>
      <w:r>
        <w:t>secSC</w:t>
      </w:r>
      <w:proofErr w:type="spellEnd"/>
      <w:r>
        <w:t xml:space="preserve"> is a truncated isoform with a new STC resulting from the splice site.</w:t>
      </w:r>
    </w:p>
    <w:p w14:paraId="7D7C4032" w14:textId="77777777" w:rsidR="001B7EE9" w:rsidRDefault="00000000">
      <w:pPr>
        <w:pStyle w:val="BodyText"/>
      </w:pPr>
      <w:r>
        <w:t xml:space="preserve">While both TRXPT_6 and TRXPT_7 have the CP for Ad-pol with </w:t>
      </w:r>
      <w:proofErr w:type="spellStart"/>
      <w:r>
        <w:t>secSC</w:t>
      </w:r>
      <w:proofErr w:type="spellEnd"/>
      <w:r>
        <w:t xml:space="preserve">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Figure 7</w:t>
      </w:r>
      <w:r>
        <w:t>).</w:t>
      </w:r>
    </w:p>
    <w:p w14:paraId="22B7AC9C" w14:textId="77777777" w:rsidR="001B7EE9" w:rsidRDefault="00000000">
      <w:pPr>
        <w:pStyle w:val="BodyText"/>
      </w:pPr>
      <w:r>
        <w:t>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Supplementary PCR methods</w:t>
      </w:r>
      <w:r>
        <w:t>).</w:t>
      </w:r>
    </w:p>
    <w:p w14:paraId="7B65AC78" w14:textId="77777777" w:rsidR="001B7EE9" w:rsidRDefault="00000000">
      <w:pPr>
        <w:pStyle w:val="BodyText"/>
      </w:pPr>
      <w:r>
        <w:t xml:space="preserve">The IM region is a single-transcript TU, encoding a single classical protein, IVa2. The promoter expressing this single transcript (TRXPT_5) is embedded in E2B region and shares a TTS with </w:t>
      </w:r>
      <w:r>
        <w:lastRenderedPageBreak/>
        <w:t>E2B transcripts (17, 18).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14:paraId="06966298" w14:textId="77777777" w:rsidR="001B7EE9" w:rsidRDefault="00000000">
      <w:pPr>
        <w:pStyle w:val="BodyText"/>
      </w:pPr>
      <w:r>
        <w:rPr>
          <w:b/>
          <w:bCs/>
        </w:rPr>
        <w:t>Early Region 3 (E3) transcripts</w:t>
      </w:r>
      <w:r>
        <w:t>.</w:t>
      </w:r>
      <w:r>
        <w:br/>
        <w:t xml:space="preserve">The E3 region is wholly contained in the MLTU and encodes proteins involved in modulating and evading the host immune defenses. In </w:t>
      </w:r>
      <w:proofErr w:type="spellStart"/>
      <w:r>
        <w:t>MAdVs</w:t>
      </w:r>
      <w:proofErr w:type="spellEnd"/>
      <w:r>
        <w:t xml:space="preserve">, this region contains seven ORFs expressed from several transcripts which share the same TSS (from the E3 promoter) but have different TTSs (10, 17, 18). However, some E3 transcripts use the TSS of the MLP. Due to sharing the same TSS, in </w:t>
      </w:r>
      <w:proofErr w:type="spellStart"/>
      <w:r>
        <w:t>MAdVs</w:t>
      </w:r>
      <w:proofErr w:type="spellEnd"/>
      <w:r>
        <w:t xml:space="preserve">, </w:t>
      </w:r>
      <w:proofErr w:type="spellStart"/>
      <w:r>
        <w:t>secSC</w:t>
      </w:r>
      <w:proofErr w:type="spellEnd"/>
      <w:r>
        <w:t xml:space="preserve"> usage is heavily relied on for gene expression in this region except for 12.5K and transcripts using the MLP TSS, as utilizing only the first SC cannot produce all the other transcripts in this TU (17).</w:t>
      </w:r>
    </w:p>
    <w:p w14:paraId="52512361" w14:textId="77777777" w:rsidR="001B7EE9" w:rsidRDefault="00000000">
      <w:pPr>
        <w:pStyle w:val="BodyText"/>
      </w:pPr>
      <w:r>
        <w:t xml:space="preserve">In THEV, only one ORF (E3) was predicted in this region. However, as the E3 TU is nested in the MLTU, transcripts from the L4P (100K, 22K, 33K, and </w:t>
      </w:r>
      <w:proofErr w:type="spellStart"/>
      <w:r>
        <w:t>pVIII</w:t>
      </w:r>
      <w:proofErr w:type="spellEnd"/>
      <w:r>
        <w:t>) not only overlap the E3 region transcripts entirely as seen in our RNA-seq results, but also have their TSS and TTS in practically the same locations (</w:t>
      </w:r>
      <w:r>
        <w:rPr>
          <w:b/>
          <w:bCs/>
        </w:rPr>
        <w:t>Figure 8</w:t>
      </w:r>
      <w:r>
        <w:t>). Therefore, we have categorized these two groups together as E3 transcripts.</w:t>
      </w:r>
    </w:p>
    <w:p w14:paraId="0DC728FE" w14:textId="77777777" w:rsidR="001B7EE9" w:rsidRDefault="00000000">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w:t>
      </w:r>
      <w:proofErr w:type="spellStart"/>
      <w:r>
        <w:t>pVIII</w:t>
      </w:r>
      <w:proofErr w:type="spellEnd"/>
      <w:r>
        <w:t xml:space="preserve">, and E3, as well as Fiber (IV) and ORF7 belonging to the MLTU. But some of these CDSs are different than predicted due to either unknown exons or the presence of an in-frame upstream SC. For instance, 33K is </w:t>
      </w:r>
      <w:r>
        <w:lastRenderedPageBreak/>
        <w:t xml:space="preserve">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w:t>
      </w:r>
      <w:proofErr w:type="spellStart"/>
      <w:r>
        <w:t>kDa</w:t>
      </w:r>
      <w:proofErr w:type="spellEnd"/>
      <w:r>
        <w:t xml:space="preserve">, 171 residue protein spanning four exons instead of the predicted 120 aa protein. TRXPT_24 also has the CP for </w:t>
      </w:r>
      <w:proofErr w:type="spellStart"/>
      <w:r>
        <w:t>pVIII</w:t>
      </w:r>
      <w:proofErr w:type="spellEnd"/>
      <w:r>
        <w:t xml:space="preserve">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w:t>
      </w:r>
      <w:proofErr w:type="spellStart"/>
      <w:r>
        <w:t>pVIII</w:t>
      </w:r>
      <w:proofErr w:type="spellEnd"/>
      <w:r>
        <w:t xml:space="preserve"> and eE3 in that order, but TRXPT_23 being longer, has the CP for the Fiber ORF also.</w:t>
      </w:r>
    </w:p>
    <w:p w14:paraId="2C7C4934" w14:textId="77777777" w:rsidR="001B7EE9" w:rsidRDefault="00000000">
      <w:pPr>
        <w:pStyle w:val="BodyText"/>
      </w:pPr>
      <w:r>
        <w:t>As the splice junctions of TRXPT_22, TRXPT_23, TRXPT_24, and TRXPT_29 essentially share the same genomic space, their validation was done with a single primer pair, and they were differentiated from each other by cloning and Sanger sequencing (</w:t>
      </w:r>
      <w:r>
        <w:rPr>
          <w:b/>
          <w:bCs/>
        </w:rPr>
        <w:t>Supplementary PCR methods</w:t>
      </w:r>
      <w:r>
        <w:t>).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Figure 8</w:t>
      </w:r>
      <w:r>
        <w:t xml:space="preserve">). The first CDS on TRXPT_30 spans all three exons, producing a novel 140 residue, 15.7kDa protein. Interestingly, the last 81 C-terminus residues of this new protein (e22K) are identical to 22K (89 </w:t>
      </w:r>
      <w:r>
        <w:lastRenderedPageBreak/>
        <w:t>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14:paraId="37111AD2" w14:textId="77777777" w:rsidR="001B7EE9" w:rsidRDefault="00000000">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w:t>
      </w:r>
      <w:proofErr w:type="spellStart"/>
      <w:r>
        <w:t>secSC</w:t>
      </w:r>
      <w:proofErr w:type="spellEnd"/>
      <w:r>
        <w:t xml:space="preserve"> usage on this transcript yields the predicted 22K ORF precisely as predicted. It also has the CP for </w:t>
      </w:r>
      <w:proofErr w:type="spellStart"/>
      <w:r>
        <w:t>pVIII</w:t>
      </w:r>
      <w:proofErr w:type="spellEnd"/>
      <w:r>
        <w:t xml:space="preserve"> and eE3 in that order. Furthermore, during the validation of the TRXPT_25 splice junction using primers that span its junction (18,350-18,717 bp), we noticed a DNA band that corresponds to the full unspliced sequence (</w:t>
      </w:r>
      <w:r>
        <w:rPr>
          <w:b/>
          <w:bCs/>
        </w:rPr>
        <w:t>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w:t>
      </w:r>
      <w:proofErr w:type="spellStart"/>
      <w:r>
        <w:t>pVIII</w:t>
      </w:r>
      <w:proofErr w:type="spellEnd"/>
      <w:r>
        <w:t xml:space="preserve"> as the 5’-most ORF and has the CP for eE3 and Fiber in that order. TRXPT_27 on the other hand, is only a two-exon transcript that is similar to TRXPT_26, only the terminal exon contains the CDSs. It encodes Fiber as the 5’-most ORF, and ORF7 downstream with </w:t>
      </w:r>
      <w:proofErr w:type="spellStart"/>
      <w:r>
        <w:t>secSC</w:t>
      </w:r>
      <w:proofErr w:type="spellEnd"/>
      <w:r>
        <w:t xml:space="preserve"> usage. TRXPT_13, which is an L4 transcript that uses the MLP TSS is discussed under the MLTU transcripts.</w:t>
      </w:r>
    </w:p>
    <w:p w14:paraId="263EB658" w14:textId="77777777" w:rsidR="001B7EE9" w:rsidRDefault="00000000">
      <w:pPr>
        <w:pStyle w:val="BodyText"/>
      </w:pPr>
      <w:r>
        <w:rPr>
          <w:b/>
          <w:bCs/>
        </w:rPr>
        <w:t>Early Region 4 (E4) transcripts</w:t>
      </w:r>
      <w:r>
        <w:br/>
        <w:t xml:space="preserve">This TU is found at the tail-end (3’-end) of the genome and expressed from the anti-sense </w:t>
      </w:r>
      <w:r>
        <w:lastRenderedPageBreak/>
        <w:t>strand. Based on nucleotide position, ORF7 and ORF8 were predicted in this region (1);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w:t>
      </w:r>
      <w:proofErr w:type="spellStart"/>
      <w:r>
        <w:t>kDa</w:t>
      </w:r>
      <w:proofErr w:type="spellEnd"/>
      <w:r>
        <w:t>, 229 aa), a longer isoform of the predicted ORF8, as the genuinely expressed ORF with an identical C-terminus to the predicted ORF8 protein.</w:t>
      </w:r>
    </w:p>
    <w:p w14:paraId="4EE60F75" w14:textId="77777777" w:rsidR="001B7EE9" w:rsidRDefault="00000000">
      <w:pPr>
        <w:pStyle w:val="BodyText"/>
      </w:pPr>
      <w:r>
        <w:rPr>
          <w:b/>
          <w:bCs/>
        </w:rPr>
        <w:t>Major Late Transcription Unit (MLTU) or MLP Region transcripts</w:t>
      </w:r>
      <w:r>
        <w:br/>
        <w:t>The MLTU transcripts dominate the late phase (</w:t>
      </w:r>
      <w:proofErr w:type="spellStart"/>
      <w:r>
        <w:t>i.e</w:t>
      </w:r>
      <w:proofErr w:type="spellEnd"/>
      <w:r>
        <w:t>,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w:t>
      </w:r>
      <w:proofErr w:type="spellStart"/>
      <w:r>
        <w:t>sTPL</w:t>
      </w:r>
      <w:proofErr w:type="spellEnd"/>
      <w:r>
        <w:t>) is used, which differs from the TPL in only one regard: the first TPL exon is substituted for a different first exon, found between the first and second TPL exons. Also, TRXPT_20 seems to include only the third TPL exon (</w:t>
      </w:r>
      <w:r>
        <w:rPr>
          <w:b/>
          <w:bCs/>
        </w:rPr>
        <w:t>Figure 10</w:t>
      </w:r>
      <w:r>
        <w:t>).</w:t>
      </w:r>
    </w:p>
    <w:p w14:paraId="6AEBCBE6" w14:textId="77777777" w:rsidR="001B7EE9" w:rsidRDefault="00000000">
      <w:pPr>
        <w:pStyle w:val="BodyText"/>
      </w:pPr>
      <w:r>
        <w:lastRenderedPageBreak/>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w:t>
      </w:r>
      <w:proofErr w:type="spellStart"/>
      <w:r>
        <w:t>sTPL</w:t>
      </w:r>
      <w:proofErr w:type="spellEnd"/>
      <w:r>
        <w:t xml:space="preserve"> (also non-coding) followed by their respective terminal exons. TRXPT_16 encodes </w:t>
      </w:r>
      <w:proofErr w:type="spellStart"/>
      <w:r>
        <w:t>pIIIa</w:t>
      </w:r>
      <w:proofErr w:type="spellEnd"/>
      <w:r>
        <w:t xml:space="preserve"> exactly as predicted as the 5’-most ORF, and also has the CP for the ORFs, III and </w:t>
      </w:r>
      <w:proofErr w:type="spellStart"/>
      <w:r>
        <w:t>pVII</w:t>
      </w:r>
      <w:proofErr w:type="spellEnd"/>
      <w:r>
        <w:t xml:space="preserve"> in that order. TRXPT_17 encodes the ORF, III (penton), and TRXPT_18 encodes the ORF </w:t>
      </w:r>
      <w:proofErr w:type="spellStart"/>
      <w:r>
        <w:t>pVII</w:t>
      </w:r>
      <w:proofErr w:type="spellEnd"/>
      <w:r>
        <w:t xml:space="preserve">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w:t>
      </w:r>
      <w:proofErr w:type="spellStart"/>
      <w:r>
        <w:t>pX</w:t>
      </w:r>
      <w:proofErr w:type="spellEnd"/>
      <w:r>
        <w:t xml:space="preserve"> (pre-Mu) followed by </w:t>
      </w:r>
      <w:proofErr w:type="spellStart"/>
      <w:r>
        <w:t>pVI</w:t>
      </w:r>
      <w:proofErr w:type="spellEnd"/>
      <w:r>
        <w:t xml:space="preserve">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 (17). While this holds true for most MLTU ORFs, several late ORFs (</w:t>
      </w:r>
      <w:proofErr w:type="spellStart"/>
      <w:r>
        <w:t>pVI</w:t>
      </w:r>
      <w:proofErr w:type="spellEnd"/>
      <w:r>
        <w:t xml:space="preserve">, protease, and ORF7) do not have such close proximity splicing but are contained in larger transcripts such as these L4 mRNAs, strongly suggesting the use of non-standard ribosomal initiation mechanisms such as </w:t>
      </w:r>
      <w:proofErr w:type="spellStart"/>
      <w:r>
        <w:t>secSC</w:t>
      </w:r>
      <w:proofErr w:type="spellEnd"/>
      <w:r>
        <w:t xml:space="preserve"> utility and ribosome shunting found in other AdVs for their translation (17, 28). TRXPT_9 and TRXPT_10 are very similar but not identical. The last exon of TRXPT_9 seems to be truncated and probably shares the same TTS as the other L4 mRNAs. They are both 6-exon transcripts encoding </w:t>
      </w:r>
      <w:proofErr w:type="spellStart"/>
      <w:r>
        <w:t>pVII</w:t>
      </w:r>
      <w:proofErr w:type="spellEnd"/>
      <w:r>
        <w:t xml:space="preserve"> as the 5’-most ORF (fourth exon) and also have the CP for </w:t>
      </w:r>
      <w:proofErr w:type="spellStart"/>
      <w:r>
        <w:t>pX</w:t>
      </w:r>
      <w:proofErr w:type="spellEnd"/>
      <w:r>
        <w:t xml:space="preserve">, </w:t>
      </w:r>
      <w:proofErr w:type="spellStart"/>
      <w:r>
        <w:t>pVI</w:t>
      </w:r>
      <w:proofErr w:type="spellEnd"/>
      <w:r>
        <w:t>, hexon, a longer variant of protease (</w:t>
      </w:r>
      <w:proofErr w:type="spellStart"/>
      <w:r>
        <w:t>eProt</w:t>
      </w:r>
      <w:proofErr w:type="spellEnd"/>
      <w:r>
        <w:t xml:space="preserve">) – uses an upstream in-frame SC than predicted, and ORF12 (a novel unpredicted 120 aa protein). </w:t>
      </w:r>
      <w:r>
        <w:lastRenderedPageBreak/>
        <w:t xml:space="preserve">TRXTP_10 (and TRXPT_9 with the L4 TTS) additionally has the CP for </w:t>
      </w:r>
      <w:proofErr w:type="spellStart"/>
      <w:r>
        <w:t>pVIII</w:t>
      </w:r>
      <w:proofErr w:type="spellEnd"/>
      <w:r>
        <w:t xml:space="preserve"> and eE3. Conversely, TRXPT_11 is a seven-exon mRNA with hexon as its 5’-most ORF but it also has the CP for </w:t>
      </w:r>
      <w:proofErr w:type="spellStart"/>
      <w:r>
        <w:t>eProt</w:t>
      </w:r>
      <w:proofErr w:type="spellEnd"/>
      <w:r>
        <w:t xml:space="preserve">, ORF12, e33K, and also </w:t>
      </w:r>
      <w:proofErr w:type="spellStart"/>
      <w:r>
        <w:t>pVIII</w:t>
      </w:r>
      <w:proofErr w:type="spellEnd"/>
      <w:r>
        <w:t xml:space="preserve"> and eE3 in that order. TRXPT_13 seems to be an E3 ORF utilizing the MLP TSS as it encodes classical L4P genes such as </w:t>
      </w:r>
      <w:proofErr w:type="spellStart"/>
      <w:r>
        <w:t>pVIII</w:t>
      </w:r>
      <w:proofErr w:type="spellEnd"/>
      <w:r>
        <w:t xml:space="preserve"> and eE3 in that order similar to TRXPT_22 (E3 TU) but it lacks the novel first ORF (8.3KII) of TRXPT_22.</w:t>
      </w:r>
    </w:p>
    <w:p w14:paraId="72FA32EF" w14:textId="77777777" w:rsidR="001B7EE9" w:rsidRDefault="00000000">
      <w:pPr>
        <w:pStyle w:val="BodyText"/>
      </w:pPr>
      <w:r>
        <w:t>Lastly, the L5 class includes only TRXPT_12 which contains the TPL and a coding terminal exon. Its 5’-most ORF is fiber (IV</w:t>
      </w:r>
      <w:proofErr w:type="gramStart"/>
      <w:r>
        <w:t>)</w:t>
      </w:r>
      <w:proofErr w:type="gramEnd"/>
      <w:r>
        <w:t xml:space="preserve"> but it also has the CP for the THEV specific gene, ORF7. TRXPT_12’s CP is identical to TRXPT_27 of the E3 TU but they differ in their 5’-UTRs. </w:t>
      </w:r>
    </w:p>
    <w:p w14:paraId="0F892B45" w14:textId="77777777" w:rsidR="00490200" w:rsidRDefault="00490200">
      <w:pPr>
        <w:pStyle w:val="Heading2"/>
      </w:pPr>
      <w:bookmarkStart w:id="3" w:name="discussionconclusions"/>
      <w:bookmarkEnd w:id="2"/>
    </w:p>
    <w:p w14:paraId="1B88CA69" w14:textId="77777777" w:rsidR="00490200" w:rsidRDefault="00490200">
      <w:pPr>
        <w:pStyle w:val="Heading2"/>
      </w:pPr>
    </w:p>
    <w:p w14:paraId="72B2597E" w14:textId="77777777" w:rsidR="00490200" w:rsidRDefault="00490200">
      <w:pPr>
        <w:pStyle w:val="Heading2"/>
      </w:pPr>
    </w:p>
    <w:p w14:paraId="1069C3CE" w14:textId="77777777" w:rsidR="00490200" w:rsidRDefault="00490200">
      <w:pPr>
        <w:pStyle w:val="Heading2"/>
      </w:pPr>
    </w:p>
    <w:p w14:paraId="290B938D" w14:textId="77777777" w:rsidR="00490200" w:rsidRDefault="00490200" w:rsidP="00490200">
      <w:pPr>
        <w:pStyle w:val="BodyText"/>
      </w:pPr>
    </w:p>
    <w:p w14:paraId="762D26AB" w14:textId="77777777" w:rsidR="00490200" w:rsidRDefault="00490200" w:rsidP="00490200">
      <w:pPr>
        <w:pStyle w:val="BodyText"/>
      </w:pPr>
    </w:p>
    <w:p w14:paraId="555EEA80" w14:textId="77777777" w:rsidR="00490200" w:rsidRDefault="00490200" w:rsidP="00490200">
      <w:pPr>
        <w:pStyle w:val="BodyText"/>
      </w:pPr>
    </w:p>
    <w:p w14:paraId="4AF0EF5D" w14:textId="77777777" w:rsidR="00490200" w:rsidRDefault="00490200" w:rsidP="00490200">
      <w:pPr>
        <w:pStyle w:val="BodyText"/>
      </w:pPr>
    </w:p>
    <w:p w14:paraId="70FC109C" w14:textId="77777777" w:rsidR="00490200" w:rsidRDefault="00490200" w:rsidP="00490200">
      <w:pPr>
        <w:pStyle w:val="BodyText"/>
      </w:pPr>
    </w:p>
    <w:p w14:paraId="30754079" w14:textId="77777777" w:rsidR="00490200" w:rsidRDefault="00490200" w:rsidP="00490200">
      <w:pPr>
        <w:pStyle w:val="BodyText"/>
      </w:pPr>
    </w:p>
    <w:p w14:paraId="6A096534" w14:textId="77777777" w:rsidR="00490200" w:rsidRDefault="00490200" w:rsidP="00490200">
      <w:pPr>
        <w:pStyle w:val="BodyText"/>
      </w:pPr>
    </w:p>
    <w:p w14:paraId="082CB157" w14:textId="77777777" w:rsidR="00490200" w:rsidRPr="00490200" w:rsidRDefault="00490200" w:rsidP="00490200">
      <w:pPr>
        <w:pStyle w:val="BodyText"/>
      </w:pPr>
    </w:p>
    <w:p w14:paraId="0380E8BF" w14:textId="2058F989" w:rsidR="001B7EE9" w:rsidRDefault="00000000">
      <w:pPr>
        <w:pStyle w:val="Heading2"/>
      </w:pPr>
      <w:r>
        <w:lastRenderedPageBreak/>
        <w:t>DISCUSSION/CONCLUSIONS</w:t>
      </w:r>
    </w:p>
    <w:p w14:paraId="036DACD9" w14:textId="77777777" w:rsidR="001B7EE9" w:rsidRDefault="00000000">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w:t>
      </w:r>
      <w:proofErr w:type="spellStart"/>
      <w:r>
        <w:t>MAdVs</w:t>
      </w:r>
      <w:proofErr w:type="spellEnd"/>
      <w:r>
        <w:t xml:space="preserve"> but with key differences. Our work shows 34 transcripts in the THEV transcriptome grouped into five TUs, of which the E3 TU shows great complexity of alternative splicing.</w:t>
      </w:r>
    </w:p>
    <w:p w14:paraId="218CC2EC" w14:textId="77777777" w:rsidR="001B7EE9" w:rsidRDefault="00000000">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w:t>
      </w:r>
      <w:proofErr w:type="spellStart"/>
      <w:r>
        <w:t>MAdVs</w:t>
      </w:r>
      <w:proofErr w:type="spellEnd"/>
      <w:r>
        <w:t xml:space="preserve">. This is supported by a previous study stating the same conclusion with its finding that almost all THEV transcripts were detectable by at 4h.p.i, and by 8h.p.i, mRNA for all predicted ORFs (including the late genes) were present (24). Conversely, despite the overall pileup </w:t>
      </w:r>
      <w:r>
        <w:lastRenderedPageBreak/>
        <w:t xml:space="preserve">similarity, a close inspection shows that the relative proportions of reads over some regions show some variation over time. The breakdown of transcripts detected at different time points in </w:t>
      </w:r>
      <w:r>
        <w:rPr>
          <w:b/>
          <w:bCs/>
        </w:rPr>
        <w:t>Figure 3b</w:t>
      </w:r>
      <w:r>
        <w:t xml:space="preserve"> seems to support this different temporal regulation of THEV. Specifically, the MLP of THEV is active significantly earlier in infection – as early as 4h.p.i and more pronounced at 12h.p.i (</w:t>
      </w:r>
      <w:r>
        <w:rPr>
          <w:b/>
          <w:bCs/>
        </w:rPr>
        <w:t>Figure 3b</w:t>
      </w:r>
      <w:r>
        <w:t xml:space="preserve"> and </w:t>
      </w:r>
      <w:r>
        <w:rPr>
          <w:b/>
          <w:bCs/>
        </w:rPr>
        <w:t>Table 2a</w:t>
      </w:r>
      <w:r>
        <w:t xml:space="preserve">), – whereas the late phase shift in </w:t>
      </w:r>
      <w:proofErr w:type="spellStart"/>
      <w:r>
        <w:t>MAdVs</w:t>
      </w:r>
      <w:proofErr w:type="spellEnd"/>
      <w:r>
        <w:t xml:space="preserve"> occurs after 24h.p.i. This also lends credence to our speculation. However, generally speaking, the overall temporal gene expression regulation known in </w:t>
      </w:r>
      <w:proofErr w:type="spellStart"/>
      <w:r>
        <w:t>MAdVs</w:t>
      </w:r>
      <w:proofErr w:type="spellEnd"/>
      <w:r>
        <w:t xml:space="preserve"> – early regions showing their peak expression at earlier time points followed by predominance of the MLTU at later time points – also holds true for THEV. Further studies would be necessary to establish the precise temporal regulation of THEV transcription.</w:t>
      </w:r>
    </w:p>
    <w:p w14:paraId="301E9327" w14:textId="77777777" w:rsidR="001B7EE9" w:rsidRDefault="00000000">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w:t>
      </w:r>
      <w:proofErr w:type="spellStart"/>
      <w:r>
        <w:t>MAdV</w:t>
      </w:r>
      <w:proofErr w:type="spellEnd"/>
      <w:r>
        <w:t xml:space="preserve">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w:t>
      </w:r>
      <w:r>
        <w:lastRenderedPageBreak/>
        <w:t xml:space="preserve">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 (17, 18, 22) are still discovering novel mRNA variants for even the best studied </w:t>
      </w:r>
      <w:proofErr w:type="spellStart"/>
      <w:r>
        <w:t>MAdVs</w:t>
      </w:r>
      <w:proofErr w:type="spellEnd"/>
      <w:r>
        <w:t xml:space="preserve">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14:paraId="20001A95" w14:textId="77777777" w:rsidR="001B7EE9" w:rsidRDefault="00000000">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w:t>
      </w:r>
      <w:proofErr w:type="spellStart"/>
      <w:r>
        <w:t>eProt</w:t>
      </w:r>
      <w:proofErr w:type="spellEnd"/>
      <w:r>
        <w:t>) or unknown upstream exons spliced onto them (eIVa2, e33K, and eORF8) were found. Other ORFs were identified that were either shorter (</w:t>
      </w:r>
      <w:proofErr w:type="spellStart"/>
      <w:r>
        <w:t>tDBP</w:t>
      </w:r>
      <w:proofErr w:type="spellEnd"/>
      <w:r>
        <w:t>,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14:paraId="3F0890AF" w14:textId="77777777" w:rsidR="001B7EE9" w:rsidRDefault="00000000">
      <w:pPr>
        <w:pStyle w:val="BodyText"/>
      </w:pPr>
      <w:r>
        <w:t xml:space="preserve">Eukaryotic mRNAs are typically functionally </w:t>
      </w:r>
      <w:proofErr w:type="spellStart"/>
      <w:r>
        <w:t>monocistronic</w:t>
      </w:r>
      <w:proofErr w:type="spellEnd"/>
      <w:r>
        <w:t xml:space="preserve">,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w:t>
      </w:r>
      <w:proofErr w:type="spellStart"/>
      <w:r>
        <w:t>secSC</w:t>
      </w:r>
      <w:proofErr w:type="spellEnd"/>
      <w:r>
        <w:t xml:space="preserve"> usage and ribosome shunting </w:t>
      </w:r>
      <w:r>
        <w:lastRenderedPageBreak/>
        <w:t xml:space="preserve">(10, 22). While there is no reliable method of predicting how efficiently any given AUG will be used, AdVs use secondary AUGs as initiation codons for most E1b proteins and for some E3 proteins. In fact, recent studies show that </w:t>
      </w:r>
      <w:proofErr w:type="spellStart"/>
      <w:r>
        <w:t>secSC</w:t>
      </w:r>
      <w:proofErr w:type="spellEnd"/>
      <w:r>
        <w:t xml:space="preserve"> usage is found transcriptome-wide. This is thought to occur because translation initiation at the first SC is inefficient, allowing downstream SCs to be employed for initiation (17).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 (10, 22).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 (17). They proposed that this may permit protein production to be fine-tuned through alteration in the balance between different mRNA groups expressing that ORF.</w:t>
      </w:r>
    </w:p>
    <w:p w14:paraId="46A35926" w14:textId="77777777" w:rsidR="001B7EE9" w:rsidRDefault="00000000">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 (10, 17, 22, 29).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 (29)) and encode several mostly late phase </w:t>
      </w:r>
      <w:r>
        <w:lastRenderedPageBreak/>
        <w:t xml:space="preserve">proteins (E4-ORF3, E4-ORF6, E4-ORF4, L4-33K, and L4-22K) that influence the RNA splice site used. This phenomenon seems to occur in the THEV transcriptome also, as the stringency of splice acceptor-donor pairs selected decreases measurably from the onset of the late phase (see </w:t>
      </w:r>
      <w:r>
        <w:rPr>
          <w:b/>
          <w:bCs/>
        </w:rPr>
        <w:t>Figure 5</w:t>
      </w:r>
      <w:r>
        <w:t>). In fact, recent studies of some human AdVs show that a virtually unlimited number of combinatorial alternative splicing events occur in an AdV lytic infection, resulting in menagerie of novel transcripts (17, 22).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 (17, 22).</w:t>
      </w:r>
    </w:p>
    <w:p w14:paraId="039FDCE7" w14:textId="77777777" w:rsidR="001B7EE9" w:rsidRDefault="00000000">
      <w:pPr>
        <w:pStyle w:val="BodyText"/>
      </w:pPr>
      <w:r>
        <w:t xml:space="preserve">Summarizing all the main points above, we see that the THEV transcriptome bears remarkable overall similarity to the better studied </w:t>
      </w:r>
      <w:proofErr w:type="spellStart"/>
      <w:r>
        <w:t>MAdVs</w:t>
      </w:r>
      <w:proofErr w:type="spellEnd"/>
      <w:r>
        <w:t>. The transcriptome is organized into five TUs, the temporal regulation is divided into early and late genes, and a broad repertoire of transcripts are produced via virtually unlimited alternative splicing. However, the THEV transcriptome appears to be less sophisticated (</w:t>
      </w:r>
      <w:proofErr w:type="spellStart"/>
      <w:r>
        <w:t>i.e</w:t>
      </w:r>
      <w:proofErr w:type="spellEnd"/>
      <w:r>
        <w:t xml:space="preserve">, it encodes fewer genes) than </w:t>
      </w:r>
      <w:proofErr w:type="spellStart"/>
      <w:r>
        <w:t>MAdVs</w:t>
      </w:r>
      <w:proofErr w:type="spellEnd"/>
      <w:r>
        <w:t xml:space="preserve"> primarily because the </w:t>
      </w:r>
      <w:proofErr w:type="spellStart"/>
      <w:r>
        <w:t>MAdV</w:t>
      </w:r>
      <w:proofErr w:type="spellEnd"/>
      <w:r>
        <w:t xml:space="preserve"> genomes are close to twice as long as that of THEV, which rationally should encode less genes. The lack of subdivision of the E1 region into E1a and E1b is one of the most obvious examples. Also, the </w:t>
      </w:r>
      <w:proofErr w:type="spellStart"/>
      <w:r>
        <w:t>MAdV</w:t>
      </w:r>
      <w:proofErr w:type="spellEnd"/>
      <w:r>
        <w:t xml:space="preserve">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w:t>
      </w:r>
      <w:proofErr w:type="spellStart"/>
      <w:r>
        <w:t>MAdVs</w:t>
      </w:r>
      <w:proofErr w:type="spellEnd"/>
      <w:r>
        <w:t>, and also utilize a variant leader sequence (</w:t>
      </w:r>
      <w:proofErr w:type="spellStart"/>
      <w:r>
        <w:t>sTPL</w:t>
      </w:r>
      <w:proofErr w:type="spellEnd"/>
      <w:r>
        <w:t xml:space="preserve">), it is well-established that significantly more diverse 5’UTRs are employed for </w:t>
      </w:r>
      <w:proofErr w:type="spellStart"/>
      <w:r>
        <w:t>MAdV</w:t>
      </w:r>
      <w:proofErr w:type="spellEnd"/>
      <w:r>
        <w:t xml:space="preserve"> MLTU transcripts. Namely, the TPL (used for majority of transcripts), the so-called x, y, and z </w:t>
      </w:r>
      <w:r>
        <w:lastRenderedPageBreak/>
        <w:t xml:space="preserve">leaders, and the </w:t>
      </w:r>
      <w:proofErr w:type="spellStart"/>
      <w:r>
        <w:t>i</w:t>
      </w:r>
      <w:proofErr w:type="spellEnd"/>
      <w:r>
        <w:t xml:space="preserve">-leader are 5’ leaders utilized by </w:t>
      </w:r>
      <w:proofErr w:type="spellStart"/>
      <w:r>
        <w:t>MAdV</w:t>
      </w:r>
      <w:proofErr w:type="spellEnd"/>
      <w:r>
        <w:t xml:space="preserve"> MLTU mRNAs. Granted, the </w:t>
      </w:r>
      <w:proofErr w:type="spellStart"/>
      <w:r>
        <w:t>MAdV</w:t>
      </w:r>
      <w:proofErr w:type="spellEnd"/>
      <w:r>
        <w:t xml:space="preserve">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w:t>
      </w:r>
      <w:proofErr w:type="spellStart"/>
      <w:proofErr w:type="gramStart"/>
      <w:r>
        <w:t>a</w:t>
      </w:r>
      <w:proofErr w:type="spellEnd"/>
      <w:proofErr w:type="gramEnd"/>
      <w:r>
        <w:t xml:space="preserve"> excellent approach to discovering and fine-tuning the transcriptome characterized in this work. Also, it is likely that future studies repeating this work in other cell lines will yield some interesting insights. </w:t>
      </w:r>
    </w:p>
    <w:p w14:paraId="7A175F48" w14:textId="77777777" w:rsidR="00490200" w:rsidRDefault="00490200">
      <w:pPr>
        <w:pStyle w:val="Heading2"/>
      </w:pPr>
      <w:bookmarkStart w:id="4" w:name="materials-and-methods"/>
      <w:bookmarkEnd w:id="3"/>
    </w:p>
    <w:p w14:paraId="0F88FB91" w14:textId="77777777" w:rsidR="00490200" w:rsidRDefault="00490200" w:rsidP="00490200">
      <w:pPr>
        <w:pStyle w:val="BodyText"/>
      </w:pPr>
    </w:p>
    <w:p w14:paraId="5EC4FFC6" w14:textId="77777777" w:rsidR="00490200" w:rsidRDefault="00490200" w:rsidP="00490200">
      <w:pPr>
        <w:pStyle w:val="BodyText"/>
      </w:pPr>
    </w:p>
    <w:p w14:paraId="0BCAF66D" w14:textId="77777777" w:rsidR="00490200" w:rsidRDefault="00490200" w:rsidP="00490200">
      <w:pPr>
        <w:pStyle w:val="BodyText"/>
      </w:pPr>
    </w:p>
    <w:p w14:paraId="0D3E9C14" w14:textId="77777777" w:rsidR="00490200" w:rsidRDefault="00490200" w:rsidP="00490200">
      <w:pPr>
        <w:pStyle w:val="BodyText"/>
      </w:pPr>
    </w:p>
    <w:p w14:paraId="08BC0D12" w14:textId="77777777" w:rsidR="00490200" w:rsidRDefault="00490200" w:rsidP="00490200">
      <w:pPr>
        <w:pStyle w:val="BodyText"/>
      </w:pPr>
    </w:p>
    <w:p w14:paraId="191DA853" w14:textId="77777777" w:rsidR="00490200" w:rsidRDefault="00490200" w:rsidP="00490200">
      <w:pPr>
        <w:pStyle w:val="BodyText"/>
      </w:pPr>
    </w:p>
    <w:p w14:paraId="7C68DBE1" w14:textId="77777777" w:rsidR="00490200" w:rsidRDefault="00490200" w:rsidP="00490200">
      <w:pPr>
        <w:pStyle w:val="BodyText"/>
      </w:pPr>
    </w:p>
    <w:p w14:paraId="634C0AC0" w14:textId="77777777" w:rsidR="00490200" w:rsidRDefault="00490200" w:rsidP="00490200">
      <w:pPr>
        <w:pStyle w:val="BodyText"/>
      </w:pPr>
    </w:p>
    <w:p w14:paraId="349C6B3D" w14:textId="77777777" w:rsidR="00490200" w:rsidRDefault="00490200" w:rsidP="00490200">
      <w:pPr>
        <w:pStyle w:val="BodyText"/>
      </w:pPr>
    </w:p>
    <w:p w14:paraId="5CEF4028" w14:textId="77777777" w:rsidR="00490200" w:rsidRDefault="00490200" w:rsidP="00490200">
      <w:pPr>
        <w:pStyle w:val="BodyText"/>
      </w:pPr>
    </w:p>
    <w:p w14:paraId="52BF5C7D" w14:textId="77777777" w:rsidR="00490200" w:rsidRPr="00490200" w:rsidRDefault="00490200" w:rsidP="00490200">
      <w:pPr>
        <w:pStyle w:val="BodyText"/>
      </w:pPr>
    </w:p>
    <w:p w14:paraId="26EA3215" w14:textId="1DE5205D" w:rsidR="001B7EE9" w:rsidRDefault="00000000">
      <w:pPr>
        <w:pStyle w:val="Heading2"/>
      </w:pPr>
      <w:r>
        <w:lastRenderedPageBreak/>
        <w:t>MATERIALS AND METHODS</w:t>
      </w:r>
    </w:p>
    <w:p w14:paraId="019010E5" w14:textId="77777777" w:rsidR="001B7EE9" w:rsidRDefault="00000000">
      <w:pPr>
        <w:pStyle w:val="Heading3"/>
      </w:pPr>
      <w:bookmarkStart w:id="5" w:name="cell-culture-and-thev-infection"/>
      <w:r>
        <w:t>Cell culture and THEV Infection</w:t>
      </w:r>
    </w:p>
    <w:p w14:paraId="0EE4DCB0" w14:textId="77777777" w:rsidR="001B7EE9" w:rsidRDefault="00000000">
      <w:pPr>
        <w:pStyle w:val="FirstParagraph"/>
      </w:pPr>
      <w:r>
        <w:t>The Turkey B-cell line (MDTC-RP19, ATCC CRL-8135) was grown as suspension cultures in 1:1 complete Leibovitz’s L-15/McCoy’s 5A medium with 10% fetal bovine serum (FBS), 20% chicken serum (</w:t>
      </w:r>
      <w:proofErr w:type="spellStart"/>
      <w:r>
        <w:t>ChS</w:t>
      </w:r>
      <w:proofErr w:type="spellEnd"/>
      <w:r>
        <w:t xml:space="preserve">), 5% </w:t>
      </w:r>
      <w:proofErr w:type="spellStart"/>
      <w:r>
        <w:t>tryptose</w:t>
      </w:r>
      <w:proofErr w:type="spellEnd"/>
      <w:r>
        <w:t xml:space="preserve"> phosphate broth (TPB), and 1% antibiotic solution (100 U/mL Penicillin and 100</w:t>
      </w:r>
      <m:oMath>
        <m:r>
          <w:rPr>
            <w:rFonts w:ascii="Cambria Math" w:hAnsi="Cambria Math"/>
          </w:rPr>
          <m:t>μg</m:t>
        </m:r>
      </m:oMath>
      <w:r>
        <w:t>/mL Streptomycin), at 41</w:t>
      </w:r>
      <w:proofErr w:type="spellStart"/>
      <w:r>
        <w:rPr>
          <w:vertAlign w:val="superscript"/>
        </w:rPr>
        <w:t>o</w:t>
      </w:r>
      <w:r>
        <w:t>C</w:t>
      </w:r>
      <w:proofErr w:type="spellEnd"/>
      <w:r>
        <w:t xml:space="preserve"> in a humidified atmosphere with 5% CO</w:t>
      </w:r>
      <w:r>
        <w:rPr>
          <w:vertAlign w:val="subscript"/>
        </w:rPr>
        <w:t>2</w:t>
      </w:r>
      <w:r>
        <w:t xml:space="preserve">. Infected cells were maintained in 1:1 serum-reduced Leibovitz’s L15/McCoy’s 5A media (SRLM) with 2.5% FBS, 5% </w:t>
      </w:r>
      <w:proofErr w:type="spellStart"/>
      <w:r>
        <w:t>ChS</w:t>
      </w:r>
      <w:proofErr w:type="spellEnd"/>
      <w:r>
        <w:t xml:space="preserve">, 1.2% TPB, and 1% antibiotic solution. A commercially available THEV vaccine was purchased from Hygieia Biological Labs as a source of THEV-A (VAS strain). The stock virus was titrated using an in-house qPCR assay with titer expressed as genome copy number (GCN)/mL, similar to </w:t>
      </w:r>
      <w:proofErr w:type="spellStart"/>
      <w:r>
        <w:t>Mahshoub</w:t>
      </w:r>
      <w:proofErr w:type="spellEnd"/>
      <w:r>
        <w:t xml:space="preserve"> </w:t>
      </w:r>
      <w:r>
        <w:rPr>
          <w:i/>
          <w:iCs/>
        </w:rPr>
        <w:t>et al</w:t>
      </w:r>
      <w:r>
        <w:t xml:space="preserve"> (30) with modifications. Cells were infected in triplicate at a multiplicity of infection (MOI) of 100 GCN/cell, incubated at 41</w:t>
      </w:r>
      <w:r>
        <w:rPr>
          <w:vertAlign w:val="superscript"/>
        </w:rPr>
        <w:t>o</w:t>
      </w:r>
      <w:r>
        <w:t>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p w14:paraId="7CF307F4" w14:textId="77777777" w:rsidR="001B7EE9" w:rsidRDefault="00000000">
      <w:pPr>
        <w:pStyle w:val="Heading3"/>
      </w:pPr>
      <w:bookmarkStart w:id="6" w:name="rna-extraction-and-sequencing"/>
      <w:bookmarkEnd w:id="5"/>
      <w:r>
        <w:t>RNA extraction and Sequencing</w:t>
      </w:r>
    </w:p>
    <w:p w14:paraId="128513F1" w14:textId="77777777" w:rsidR="001B7EE9" w:rsidRDefault="00000000">
      <w:pPr>
        <w:pStyle w:val="FirstParagraph"/>
      </w:pPr>
      <w:r>
        <w:t xml:space="preserve">Total RNA was extracted from infected cells using the </w:t>
      </w:r>
      <w:proofErr w:type="spellStart"/>
      <w:r>
        <w:t>Thermofisher</w:t>
      </w:r>
      <w:proofErr w:type="spellEnd"/>
      <w:r>
        <w:t xml:space="preserve"> </w:t>
      </w:r>
      <w:proofErr w:type="spellStart"/>
      <w:r>
        <w:t>RNAqueous</w:t>
      </w:r>
      <w:proofErr w:type="spellEnd"/>
      <w:r>
        <w:t xml:space="preserve">™-4PCR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w:t>
      </w:r>
      <w:r>
        <w:lastRenderedPageBreak/>
        <w:t xml:space="preserve">library was prepared following Illumina’s </w:t>
      </w:r>
      <w:proofErr w:type="spellStart"/>
      <w:r>
        <w:t>TruSeq</w:t>
      </w:r>
      <w:proofErr w:type="spellEnd"/>
      <w:r>
        <w:t xml:space="preserve">-stranded-mRNA sample preparation protocol. Paired-end sequencing to generate 150 bp reads was performed on the Illumina </w:t>
      </w:r>
      <w:proofErr w:type="spellStart"/>
      <w:r>
        <w:t>NovaSeq</w:t>
      </w:r>
      <w:proofErr w:type="spellEnd"/>
      <w:r>
        <w:t xml:space="preserve"> 6000 sequencing system.</w:t>
      </w:r>
    </w:p>
    <w:p w14:paraId="165ABCD3" w14:textId="77777777" w:rsidR="001B7EE9" w:rsidRDefault="00000000">
      <w:pPr>
        <w:pStyle w:val="Heading3"/>
      </w:pPr>
      <w:bookmarkStart w:id="7" w:name="validation-of-novel-splice-junctions"/>
      <w:bookmarkEnd w:id="6"/>
      <w:r>
        <w:t>Validation of Novel Splice Junctions</w:t>
      </w:r>
    </w:p>
    <w:p w14:paraId="320AADF0" w14:textId="77777777" w:rsidR="001B7EE9" w:rsidRDefault="00000000">
      <w:pPr>
        <w:pStyle w:val="FirstParagraph"/>
      </w:pPr>
      <w:r>
        <w:t>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w:t>
      </w:r>
      <w:proofErr w:type="spellStart"/>
      <w:r>
        <w:t>SuperScript</w:t>
      </w:r>
      <w:proofErr w:type="spellEnd"/>
      <w:r>
        <w:t xml:space="preserve">™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 </w:t>
      </w:r>
      <w:r>
        <w:rPr>
          <w:b/>
          <w:bCs/>
        </w:rPr>
        <w:t>Supplementary PCR methods</w:t>
      </w:r>
      <w:r>
        <w:t>, DNA bands were not found in the “no RT” controls, indicating that the DNA bands seen are of cDNA origin.</w:t>
      </w:r>
    </w:p>
    <w:p w14:paraId="5EBFAE5F" w14:textId="77777777" w:rsidR="001B7EE9" w:rsidRDefault="00000000">
      <w:pPr>
        <w:pStyle w:val="Heading3"/>
      </w:pPr>
      <w:bookmarkStart w:id="8" w:name="rapid-amplification-of-cdna-ends-3-race"/>
      <w:bookmarkEnd w:id="7"/>
      <w:r>
        <w:lastRenderedPageBreak/>
        <w:t>3’ Rapid Amplification of cDNA Ends (3’ RACE)</w:t>
      </w:r>
    </w:p>
    <w:p w14:paraId="7A9158B6" w14:textId="77777777" w:rsidR="001B7EE9" w:rsidRDefault="00000000">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 </w:t>
      </w:r>
      <w:r>
        <w:rPr>
          <w:i/>
          <w:iCs/>
        </w:rPr>
        <w:t>et al</w:t>
      </w:r>
      <w:r>
        <w:t xml:space="preserve"> (31) with modifications. Briefly, 1</w:t>
      </w:r>
      <m:oMath>
        <m:r>
          <w:rPr>
            <w:rFonts w:ascii="Cambria Math" w:hAnsi="Cambria Math"/>
          </w:rPr>
          <m:t>μg</m:t>
        </m:r>
      </m:oMath>
      <w:r>
        <w:t xml:space="preserve"> 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p w14:paraId="35053508" w14:textId="77777777" w:rsidR="001B7EE9" w:rsidRDefault="00000000">
      <w:pPr>
        <w:pStyle w:val="Heading3"/>
      </w:pPr>
      <w:bookmarkStart w:id="9" w:name="X1d70fb3ab2638f41a196ea004cc1d7506abb047"/>
      <w:bookmarkEnd w:id="8"/>
      <w:r>
        <w:t>Computational Analysis of RNA Sequencing Data: Mapping and Transcript characterization</w:t>
      </w:r>
    </w:p>
    <w:p w14:paraId="23D03193" w14:textId="77777777" w:rsidR="001B7EE9" w:rsidRDefault="00000000">
      <w:pPr>
        <w:pStyle w:val="FirstParagraph"/>
      </w:pPr>
      <w:r>
        <w:t xml:space="preserve">Sequencing reads were analyzed following a well-established protocol described by </w:t>
      </w:r>
      <w:proofErr w:type="spellStart"/>
      <w:r>
        <w:t>Pertea</w:t>
      </w:r>
      <w:proofErr w:type="spellEnd"/>
      <w:r>
        <w:t xml:space="preserve"> </w:t>
      </w:r>
      <w:r>
        <w:rPr>
          <w:i/>
          <w:iCs/>
        </w:rPr>
        <w:t>et al</w:t>
      </w:r>
      <w:r>
        <w:t xml:space="preserve"> (25), using </w:t>
      </w:r>
      <w:proofErr w:type="spellStart"/>
      <w:r>
        <w:t>Snakemake</w:t>
      </w:r>
      <w:proofErr w:type="spellEnd"/>
      <w:r>
        <w:t xml:space="preserve"> - version 7.24.0 (32), a popular workflow management system to drive the pipeline. Briefly, sequencing reads were trimmed with the Trim-galore - version 0.6.6 (33) program to achieve an overall Mean Sequence Quality (</w:t>
      </w:r>
      <w:proofErr w:type="spellStart"/>
      <w:r>
        <w:t>Phred</w:t>
      </w:r>
      <w:proofErr w:type="spellEnd"/>
      <w:r>
        <w:t xml:space="preserve"> Score) of 36. Trimmed reads were mapped simultaneously to the complete genomic sequence of avirulent turkey hemorrhagic enteritis virus (</w:t>
      </w:r>
      <w:hyperlink r:id="rId9">
        <w:r>
          <w:rPr>
            <w:rStyle w:val="Hyperlink"/>
          </w:rPr>
          <w:t>https://www.ncbi.nlm.nih.gov/nuccore/AY849321.1/</w:t>
        </w:r>
      </w:hyperlink>
      <w:r>
        <w:t xml:space="preserve">) and </w:t>
      </w:r>
      <w:r>
        <w:rPr>
          <w:i/>
          <w:iCs/>
        </w:rPr>
        <w:t>Meleagris gallopavo</w:t>
      </w:r>
      <w:r>
        <w:t xml:space="preserve"> (</w:t>
      </w:r>
      <w:hyperlink r:id="rId10">
        <w:r>
          <w:rPr>
            <w:rStyle w:val="Hyperlink"/>
          </w:rPr>
          <w:t>https://www.ncbi.nlm.nih.gov/genome/?term=Meleagris+gallopavo</w:t>
        </w:r>
      </w:hyperlink>
      <w:r>
        <w:t xml:space="preserve">) using Hisat2 - version 2.2.1 (25) with default settings. The generated binary alignment (BAM) files from each infection time point were filtered for reads mapping to the THEV genome using </w:t>
      </w:r>
      <w:proofErr w:type="spellStart"/>
      <w:r>
        <w:t>Samtools</w:t>
      </w:r>
      <w:proofErr w:type="spellEnd"/>
      <w:r>
        <w:t xml:space="preserve"> - version 1.16.1 and fed into StringTie - version 2.2.1 (25) 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w:t>
      </w:r>
      <w:r>
        <w:lastRenderedPageBreak/>
        <w:t xml:space="preserve">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w:t>
      </w:r>
      <w:proofErr w:type="spellStart"/>
      <w:r>
        <w:t>Samtools</w:t>
      </w:r>
      <w:proofErr w:type="spellEnd"/>
      <w:r>
        <w:t xml:space="preserve"> was also used to count the total sequencing reads for all replicates at each time point and </w:t>
      </w:r>
      <w:proofErr w:type="spellStart"/>
      <w:r>
        <w:t>Regtools</w:t>
      </w:r>
      <w:proofErr w:type="spellEnd"/>
      <w:r>
        <w:t xml:space="preserve"> - version 1.0.0 was used to count all junctions, the reads supporting them, and extract all other information related to the junction. See </w:t>
      </w:r>
      <w:r>
        <w:rPr>
          <w:b/>
          <w:bCs/>
        </w:rPr>
        <w:t>Supplementary Computational Analysis</w:t>
      </w:r>
      <w:r>
        <w:t xml:space="preserve"> for the details of transcript expression level estimations and splice junction read counts.</w:t>
      </w:r>
    </w:p>
    <w:p w14:paraId="050A9AB0" w14:textId="77777777" w:rsidR="001B7EE9" w:rsidRDefault="00000000">
      <w:pPr>
        <w:pStyle w:val="Heading3"/>
      </w:pPr>
      <w:bookmarkStart w:id="10" w:name="data-availability"/>
      <w:bookmarkEnd w:id="9"/>
      <w:r>
        <w:t>DATA AVAILABILITY</w:t>
      </w:r>
    </w:p>
    <w:p w14:paraId="02DD13F4" w14:textId="77777777" w:rsidR="001B7EE9" w:rsidRDefault="00000000">
      <w:pPr>
        <w:pStyle w:val="FirstParagraph"/>
      </w:pPr>
      <w:r>
        <w:t>The raw sequencing read data (</w:t>
      </w:r>
      <w:proofErr w:type="spellStart"/>
      <w:r>
        <w:t>FastQ</w:t>
      </w:r>
      <w:proofErr w:type="spellEnd"/>
      <w:r>
        <w:t>), transcript expression counts, and total unique junctions have been deposited at the National Center for Biotechnology Information Gene Expression Omnibus (</w:t>
      </w:r>
      <w:hyperlink r:id="rId11">
        <w:r>
          <w:rPr>
            <w:rStyle w:val="Hyperlink"/>
          </w:rPr>
          <w:t>http://www.ncbi.nlm.nih.gov/geo</w:t>
        </w:r>
      </w:hyperlink>
      <w:r>
        <w:t>) under accession number GSE254416.</w:t>
      </w:r>
    </w:p>
    <w:p w14:paraId="76532C16" w14:textId="77777777" w:rsidR="001B7EE9" w:rsidRDefault="00000000">
      <w:pPr>
        <w:pStyle w:val="BodyText"/>
      </w:pPr>
      <w:r>
        <w:t>Data is also available on request by contacting the designated corresponding author.</w:t>
      </w:r>
    </w:p>
    <w:p w14:paraId="6FCF4DE4" w14:textId="77777777" w:rsidR="001B7EE9" w:rsidRDefault="00000000">
      <w:pPr>
        <w:pStyle w:val="Heading2"/>
      </w:pPr>
      <w:bookmarkStart w:id="11" w:name="code-availability"/>
      <w:bookmarkEnd w:id="4"/>
      <w:bookmarkEnd w:id="10"/>
      <w:r>
        <w:t>CODE AVAILABILITY</w:t>
      </w:r>
    </w:p>
    <w:p w14:paraId="7EEC0502" w14:textId="77777777" w:rsidR="001B7EE9" w:rsidRDefault="00000000">
      <w:pPr>
        <w:pStyle w:val="FirstParagraph"/>
      </w:pPr>
      <w:r>
        <w:t xml:space="preserve">All the code/scripts in the entire analysis pipeline are available on </w:t>
      </w:r>
      <w:proofErr w:type="spellStart"/>
      <w:r>
        <w:t>github</w:t>
      </w:r>
      <w:proofErr w:type="spellEnd"/>
      <w:r>
        <w:t xml:space="preserve"> (</w:t>
      </w:r>
      <w:hyperlink r:id="rId12">
        <w:r>
          <w:rPr>
            <w:rStyle w:val="Hyperlink"/>
          </w:rPr>
          <w:t>https://github.com/Abraham-Quaye/thev_transcriptome</w:t>
        </w:r>
      </w:hyperlink>
      <w:r>
        <w:t>)</w:t>
      </w:r>
    </w:p>
    <w:p w14:paraId="3F890E32" w14:textId="77777777" w:rsidR="001B7EE9" w:rsidRDefault="00000000">
      <w:pPr>
        <w:pStyle w:val="Heading2"/>
      </w:pPr>
      <w:bookmarkStart w:id="12" w:name="acknowledgments"/>
      <w:bookmarkEnd w:id="11"/>
      <w:r>
        <w:t>ACKNOWLEDGMENTS</w:t>
      </w:r>
    </w:p>
    <w:p w14:paraId="07F2605F" w14:textId="77777777" w:rsidR="001B7EE9" w:rsidRDefault="00000000">
      <w:pPr>
        <w:pStyle w:val="FirstParagraph"/>
      </w:pPr>
      <w:r>
        <w:t xml:space="preserve">We thank the Office of Research Computing at Brigham Young University for granting us access to the </w:t>
      </w:r>
      <w:proofErr w:type="gramStart"/>
      <w:r>
        <w:t>high performance</w:t>
      </w:r>
      <w:proofErr w:type="gramEnd"/>
      <w:r>
        <w:t xml:space="preserve"> computing systems to perform the memory-intensive steps in the analysis pipeline of this work. </w:t>
      </w:r>
    </w:p>
    <w:p w14:paraId="6E94A928" w14:textId="77777777" w:rsidR="00490200" w:rsidRDefault="00490200">
      <w:pPr>
        <w:pStyle w:val="Heading2"/>
      </w:pPr>
      <w:bookmarkStart w:id="13" w:name="references"/>
      <w:bookmarkEnd w:id="12"/>
    </w:p>
    <w:p w14:paraId="71427B4A" w14:textId="77777777" w:rsidR="00490200" w:rsidRPr="00490200" w:rsidRDefault="00490200" w:rsidP="00490200">
      <w:pPr>
        <w:pStyle w:val="BodyText"/>
      </w:pPr>
    </w:p>
    <w:p w14:paraId="7867C592" w14:textId="20E79039" w:rsidR="001B7EE9" w:rsidRDefault="00000000">
      <w:pPr>
        <w:pStyle w:val="Heading2"/>
      </w:pPr>
      <w:r>
        <w:lastRenderedPageBreak/>
        <w:t>REFERENCES</w:t>
      </w:r>
    </w:p>
    <w:p w14:paraId="4013608F" w14:textId="77777777" w:rsidR="001B7EE9" w:rsidRDefault="001B7EE9">
      <w:pPr>
        <w:pStyle w:val="FirstParagraph"/>
      </w:pPr>
    </w:p>
    <w:p w14:paraId="426C24CB" w14:textId="77777777" w:rsidR="001B7EE9" w:rsidRDefault="00000000">
      <w:pPr>
        <w:pStyle w:val="Bibliography"/>
      </w:pPr>
      <w:bookmarkStart w:id="14" w:name="ref-Davison2003"/>
      <w:bookmarkStart w:id="15" w:name="refs"/>
      <w:r>
        <w:t xml:space="preserve">1. </w:t>
      </w:r>
      <w:r>
        <w:tab/>
        <w:t xml:space="preserve">Davison A, Benko M, </w:t>
      </w:r>
      <w:proofErr w:type="spellStart"/>
      <w:r>
        <w:t>Harrach</w:t>
      </w:r>
      <w:proofErr w:type="spellEnd"/>
      <w:r>
        <w:t xml:space="preserve"> B. 2003. </w:t>
      </w:r>
      <w:hyperlink r:id="rId13">
        <w:r>
          <w:rPr>
            <w:rStyle w:val="Hyperlink"/>
          </w:rPr>
          <w:t>Genetic content and evolution of adenoviruses</w:t>
        </w:r>
      </w:hyperlink>
      <w:r>
        <w:t>. The Journal of general virology 84:2895–908.</w:t>
      </w:r>
    </w:p>
    <w:p w14:paraId="49CC473A" w14:textId="77777777" w:rsidR="001B7EE9" w:rsidRDefault="00000000">
      <w:pPr>
        <w:pStyle w:val="Bibliography"/>
      </w:pPr>
      <w:bookmarkStart w:id="16" w:name="ref-Harrach2008"/>
      <w:bookmarkEnd w:id="14"/>
      <w:r>
        <w:t xml:space="preserve">2. </w:t>
      </w:r>
      <w:r>
        <w:tab/>
      </w:r>
      <w:proofErr w:type="spellStart"/>
      <w:r>
        <w:t>Harrach</w:t>
      </w:r>
      <w:proofErr w:type="spellEnd"/>
      <w:r>
        <w:t xml:space="preserve"> B. 2008. </w:t>
      </w:r>
      <w:hyperlink r:id="rId14">
        <w:r>
          <w:rPr>
            <w:rStyle w:val="Hyperlink"/>
          </w:rPr>
          <w:t>Adenoviruses: General features</w:t>
        </w:r>
      </w:hyperlink>
      <w:r>
        <w:t xml:space="preserve">, p. 1–9. </w:t>
      </w:r>
      <w:r>
        <w:rPr>
          <w:i/>
          <w:iCs/>
        </w:rPr>
        <w:t>In</w:t>
      </w:r>
      <w:r>
        <w:t xml:space="preserve"> </w:t>
      </w:r>
      <w:proofErr w:type="spellStart"/>
      <w:r>
        <w:t>Mahy</w:t>
      </w:r>
      <w:proofErr w:type="spellEnd"/>
      <w:r>
        <w:t xml:space="preserve">, BWJ, Van </w:t>
      </w:r>
      <w:proofErr w:type="spellStart"/>
      <w:r>
        <w:t>Regenmortel</w:t>
      </w:r>
      <w:proofErr w:type="spellEnd"/>
      <w:r>
        <w:t>, MHV (eds.), Encyclopedia of virology (third edition). Book Section. Academic Press, Oxford.</w:t>
      </w:r>
    </w:p>
    <w:p w14:paraId="3CD560D9" w14:textId="77777777" w:rsidR="001B7EE9" w:rsidRDefault="00000000">
      <w:pPr>
        <w:pStyle w:val="Bibliography"/>
      </w:pPr>
      <w:bookmarkStart w:id="17" w:name="ref-Upton2003"/>
      <w:bookmarkEnd w:id="16"/>
      <w:r>
        <w:t xml:space="preserve">3. </w:t>
      </w:r>
      <w:r>
        <w:tab/>
        <w:t xml:space="preserve">Upton C, Slack S, Hunter AL, Ehlers A, Roper RL. 2003. </w:t>
      </w:r>
      <w:hyperlink r:id="rId15">
        <w:r>
          <w:rPr>
            <w:rStyle w:val="Hyperlink"/>
          </w:rPr>
          <w:t>Poxvirus orthologous clusters: Toward defining the minimum essential poxvirus genome</w:t>
        </w:r>
      </w:hyperlink>
      <w:r>
        <w:t>. Journal of virology 77:7590–7600.</w:t>
      </w:r>
    </w:p>
    <w:p w14:paraId="60F14A6F" w14:textId="77777777" w:rsidR="001B7EE9" w:rsidRDefault="00000000">
      <w:pPr>
        <w:pStyle w:val="Bibliography"/>
      </w:pPr>
      <w:bookmarkStart w:id="18" w:name="ref-McGeoch1999"/>
      <w:bookmarkEnd w:id="17"/>
      <w:r>
        <w:t xml:space="preserve">4. </w:t>
      </w:r>
      <w:r>
        <w:tab/>
      </w:r>
      <w:proofErr w:type="spellStart"/>
      <w:r>
        <w:t>McGeoch</w:t>
      </w:r>
      <w:proofErr w:type="spellEnd"/>
      <w:r>
        <w:t xml:space="preserve"> D, Davison AJ. 1999. </w:t>
      </w:r>
      <w:hyperlink r:id="rId16">
        <w:r>
          <w:rPr>
            <w:rStyle w:val="Hyperlink"/>
          </w:rPr>
          <w:t>Chapter 17 - the molecular evolutionary history of the herpesviruses</w:t>
        </w:r>
      </w:hyperlink>
      <w:r>
        <w:t xml:space="preserve">, p. 441–465. </w:t>
      </w:r>
      <w:r>
        <w:rPr>
          <w:i/>
          <w:iCs/>
        </w:rPr>
        <w:t>In</w:t>
      </w:r>
      <w:r>
        <w:t xml:space="preserve"> Domingo, E, Webster, R, Holland, J (eds.), Origin and evolution of viruses. Book Section. Academic Press, London.</w:t>
      </w:r>
    </w:p>
    <w:p w14:paraId="23C169DB" w14:textId="77777777" w:rsidR="001B7EE9" w:rsidRDefault="00000000">
      <w:pPr>
        <w:pStyle w:val="Bibliography"/>
      </w:pPr>
      <w:bookmarkStart w:id="19" w:name="ref-Harrach2011"/>
      <w:bookmarkEnd w:id="18"/>
      <w:r>
        <w:t xml:space="preserve">5. </w:t>
      </w:r>
      <w:r>
        <w:tab/>
      </w:r>
      <w:proofErr w:type="spellStart"/>
      <w:r>
        <w:t>Harrach</w:t>
      </w:r>
      <w:proofErr w:type="spellEnd"/>
      <w:r>
        <w:t xml:space="preserve"> B, Benko M, Both GW, Brown M, Davison AJ, </w:t>
      </w:r>
      <w:proofErr w:type="spellStart"/>
      <w:r>
        <w:t>Echavarría</w:t>
      </w:r>
      <w:proofErr w:type="spellEnd"/>
      <w:r>
        <w:t xml:space="preserve"> M, Hess M, Jones M, </w:t>
      </w:r>
      <w:proofErr w:type="spellStart"/>
      <w:r>
        <w:t>Kajon</w:t>
      </w:r>
      <w:proofErr w:type="spellEnd"/>
      <w:r>
        <w:t xml:space="preserve"> A, </w:t>
      </w:r>
      <w:proofErr w:type="spellStart"/>
      <w:r>
        <w:t>Lehmkuhl</w:t>
      </w:r>
      <w:proofErr w:type="spellEnd"/>
      <w:r>
        <w:t xml:space="preserve"> HD, Mautner V, Mittal S, </w:t>
      </w:r>
      <w:proofErr w:type="spellStart"/>
      <w:r>
        <w:t>Wadell</w:t>
      </w:r>
      <w:proofErr w:type="spellEnd"/>
      <w:r>
        <w:t xml:space="preserve"> G. 2011. Family adenoviridae. Virus Taxonomy: 9th Report of the International Committee on Taxonomy of Viruses 125–141.</w:t>
      </w:r>
    </w:p>
    <w:p w14:paraId="4E06AEC1" w14:textId="77777777" w:rsidR="001B7EE9" w:rsidRDefault="00000000">
      <w:pPr>
        <w:pStyle w:val="Bibliography"/>
      </w:pPr>
      <w:bookmarkStart w:id="20" w:name="ref-Kovács2011"/>
      <w:bookmarkEnd w:id="19"/>
      <w:r>
        <w:t xml:space="preserve">6. </w:t>
      </w:r>
      <w:r>
        <w:tab/>
      </w:r>
      <w:proofErr w:type="spellStart"/>
      <w:r>
        <w:t>Kovács</w:t>
      </w:r>
      <w:proofErr w:type="spellEnd"/>
      <w:r>
        <w:t xml:space="preserve"> ER, </w:t>
      </w:r>
      <w:proofErr w:type="spellStart"/>
      <w:r>
        <w:t>Benkő</w:t>
      </w:r>
      <w:proofErr w:type="spellEnd"/>
      <w:r>
        <w:t xml:space="preserve"> M. 2011. </w:t>
      </w:r>
      <w:hyperlink r:id="rId17">
        <w:r>
          <w:rPr>
            <w:rStyle w:val="Hyperlink"/>
          </w:rPr>
          <w:t xml:space="preserve">Complete sequence of raptor adenovirus 1 confirms the characteristic genome organization of </w:t>
        </w:r>
        <w:proofErr w:type="spellStart"/>
        <w:r>
          <w:rPr>
            <w:rStyle w:val="Hyperlink"/>
          </w:rPr>
          <w:t>siadenoviruses</w:t>
        </w:r>
        <w:proofErr w:type="spellEnd"/>
      </w:hyperlink>
      <w:r>
        <w:t>. Infection, Genetics and Evolution 11:1058–1065.</w:t>
      </w:r>
    </w:p>
    <w:p w14:paraId="716B04CB" w14:textId="77777777" w:rsidR="001B7EE9" w:rsidRDefault="00000000">
      <w:pPr>
        <w:pStyle w:val="Bibliography"/>
      </w:pPr>
      <w:bookmarkStart w:id="21" w:name="ref-Davison2000"/>
      <w:bookmarkEnd w:id="20"/>
      <w:r>
        <w:t xml:space="preserve">7. </w:t>
      </w:r>
      <w:r>
        <w:tab/>
        <w:t xml:space="preserve">Davison AJ, Wright KM, </w:t>
      </w:r>
      <w:proofErr w:type="spellStart"/>
      <w:r>
        <w:t>Harrach</w:t>
      </w:r>
      <w:proofErr w:type="spellEnd"/>
      <w:r>
        <w:t xml:space="preserve"> B. 2000. </w:t>
      </w:r>
      <w:hyperlink r:id="rId18">
        <w:r>
          <w:rPr>
            <w:rStyle w:val="Hyperlink"/>
          </w:rPr>
          <w:t>DNA sequence of frog adenovirus</w:t>
        </w:r>
      </w:hyperlink>
      <w:r>
        <w:t xml:space="preserve">. J Gen </w:t>
      </w:r>
      <w:proofErr w:type="spellStart"/>
      <w:r>
        <w:t>Virol</w:t>
      </w:r>
      <w:proofErr w:type="spellEnd"/>
      <w:r>
        <w:t xml:space="preserve"> 81:2431–2439.</w:t>
      </w:r>
    </w:p>
    <w:p w14:paraId="31A3C20E" w14:textId="77777777" w:rsidR="001B7EE9" w:rsidRDefault="00000000">
      <w:pPr>
        <w:pStyle w:val="Bibliography"/>
      </w:pPr>
      <w:bookmarkStart w:id="22" w:name="ref-Kovács2010"/>
      <w:bookmarkEnd w:id="21"/>
      <w:r>
        <w:t xml:space="preserve">8. </w:t>
      </w:r>
      <w:r>
        <w:tab/>
      </w:r>
      <w:proofErr w:type="spellStart"/>
      <w:r>
        <w:t>Kovács</w:t>
      </w:r>
      <w:proofErr w:type="spellEnd"/>
      <w:r>
        <w:t xml:space="preserve"> ER, </w:t>
      </w:r>
      <w:proofErr w:type="spellStart"/>
      <w:r>
        <w:t>Jánoska</w:t>
      </w:r>
      <w:proofErr w:type="spellEnd"/>
      <w:r>
        <w:t xml:space="preserve"> M, </w:t>
      </w:r>
      <w:proofErr w:type="spellStart"/>
      <w:r>
        <w:t>Dán</w:t>
      </w:r>
      <w:proofErr w:type="spellEnd"/>
      <w:r>
        <w:t xml:space="preserve"> Á, </w:t>
      </w:r>
      <w:proofErr w:type="spellStart"/>
      <w:r>
        <w:t>Harrach</w:t>
      </w:r>
      <w:proofErr w:type="spellEnd"/>
      <w:r>
        <w:t xml:space="preserve"> B, </w:t>
      </w:r>
      <w:proofErr w:type="spellStart"/>
      <w:r>
        <w:t>Benkő</w:t>
      </w:r>
      <w:proofErr w:type="spellEnd"/>
      <w:r>
        <w:t xml:space="preserve"> M. 2010. </w:t>
      </w:r>
      <w:hyperlink r:id="rId19">
        <w:r>
          <w:rPr>
            <w:rStyle w:val="Hyperlink"/>
          </w:rPr>
          <w:t xml:space="preserve">Recognition and partial genome characterization by non-specific DNA amplification and PCR of a new </w:t>
        </w:r>
        <w:proofErr w:type="spellStart"/>
        <w:r>
          <w:rPr>
            <w:rStyle w:val="Hyperlink"/>
          </w:rPr>
          <w:t>siadenovirus</w:t>
        </w:r>
        <w:proofErr w:type="spellEnd"/>
        <w:r>
          <w:rPr>
            <w:rStyle w:val="Hyperlink"/>
          </w:rPr>
          <w:t xml:space="preserve"> species in a sample originating from </w:t>
        </w:r>
        <w:proofErr w:type="spellStart"/>
        <w:r>
          <w:rPr>
            <w:rStyle w:val="Hyperlink"/>
          </w:rPr>
          <w:t>parus</w:t>
        </w:r>
        <w:proofErr w:type="spellEnd"/>
        <w:r>
          <w:rPr>
            <w:rStyle w:val="Hyperlink"/>
          </w:rPr>
          <w:t xml:space="preserve"> major, a great tit</w:t>
        </w:r>
      </w:hyperlink>
      <w:r>
        <w:t>. Journal of Virological Methods 163:262–268.</w:t>
      </w:r>
    </w:p>
    <w:p w14:paraId="7258528C" w14:textId="77777777" w:rsidR="001B7EE9" w:rsidRDefault="00000000">
      <w:pPr>
        <w:pStyle w:val="Bibliography"/>
      </w:pPr>
      <w:bookmarkStart w:id="23" w:name="ref-Katoh2009"/>
      <w:bookmarkEnd w:id="22"/>
      <w:r>
        <w:t xml:space="preserve">9. </w:t>
      </w:r>
      <w:r>
        <w:tab/>
      </w:r>
      <w:proofErr w:type="spellStart"/>
      <w:r>
        <w:t>Katoh</w:t>
      </w:r>
      <w:proofErr w:type="spellEnd"/>
      <w:r>
        <w:t xml:space="preserve"> H, </w:t>
      </w:r>
      <w:proofErr w:type="spellStart"/>
      <w:r>
        <w:t>Ohya</w:t>
      </w:r>
      <w:proofErr w:type="spellEnd"/>
      <w:r>
        <w:t xml:space="preserve"> K, Kubo M, Murata K, </w:t>
      </w:r>
      <w:proofErr w:type="spellStart"/>
      <w:r>
        <w:t>Yanai</w:t>
      </w:r>
      <w:proofErr w:type="spellEnd"/>
      <w:r>
        <w:t xml:space="preserve"> T, </w:t>
      </w:r>
      <w:proofErr w:type="spellStart"/>
      <w:r>
        <w:t>Fukushi</w:t>
      </w:r>
      <w:proofErr w:type="spellEnd"/>
      <w:r>
        <w:t xml:space="preserve"> H. 2009. </w:t>
      </w:r>
      <w:hyperlink r:id="rId20">
        <w:r>
          <w:rPr>
            <w:rStyle w:val="Hyperlink"/>
          </w:rPr>
          <w:t xml:space="preserve">A novel budgerigar-adenovirus belonging to group II avian adenovirus of </w:t>
        </w:r>
        <w:proofErr w:type="spellStart"/>
        <w:r>
          <w:rPr>
            <w:rStyle w:val="Hyperlink"/>
          </w:rPr>
          <w:t>siadenovirus</w:t>
        </w:r>
        <w:proofErr w:type="spellEnd"/>
      </w:hyperlink>
      <w:r>
        <w:t>. Virus Research 144:294–297.</w:t>
      </w:r>
    </w:p>
    <w:p w14:paraId="4163BF4B" w14:textId="77777777" w:rsidR="001B7EE9" w:rsidRDefault="00000000">
      <w:pPr>
        <w:pStyle w:val="Bibliography"/>
      </w:pPr>
      <w:bookmarkStart w:id="24" w:name="ref-Guimet2016"/>
      <w:bookmarkEnd w:id="23"/>
      <w:r>
        <w:t xml:space="preserve">10. </w:t>
      </w:r>
      <w:r>
        <w:tab/>
      </w:r>
      <w:proofErr w:type="spellStart"/>
      <w:r>
        <w:t>Guimet</w:t>
      </w:r>
      <w:proofErr w:type="spellEnd"/>
      <w:r>
        <w:t xml:space="preserve"> D, Hearing P. 2016. </w:t>
      </w:r>
      <w:hyperlink r:id="rId21">
        <w:r>
          <w:rPr>
            <w:rStyle w:val="Hyperlink"/>
          </w:rPr>
          <w:t>3 - adenovirus replication</w:t>
        </w:r>
      </w:hyperlink>
      <w:r>
        <w:t xml:space="preserve">, p. 59–84. </w:t>
      </w:r>
      <w:r>
        <w:rPr>
          <w:i/>
          <w:iCs/>
        </w:rPr>
        <w:t>In</w:t>
      </w:r>
      <w:r>
        <w:t xml:space="preserve"> Curiel, DT (ed.), Adenoviral vectors for gene therapy (second edition). Book Section. Academic Press, San Diego.</w:t>
      </w:r>
    </w:p>
    <w:p w14:paraId="2AAE7272" w14:textId="77777777" w:rsidR="001B7EE9" w:rsidRDefault="00000000">
      <w:pPr>
        <w:pStyle w:val="Bibliography"/>
      </w:pPr>
      <w:bookmarkStart w:id="25" w:name="ref-Beach2006"/>
      <w:bookmarkEnd w:id="24"/>
      <w:r>
        <w:t xml:space="preserve">11. </w:t>
      </w:r>
      <w:r>
        <w:tab/>
        <w:t xml:space="preserve">Beach NM. 2006. </w:t>
      </w:r>
      <w:hyperlink r:id="rId22">
        <w:r>
          <w:rPr>
            <w:rStyle w:val="Hyperlink"/>
          </w:rPr>
          <w:t>Characterization of avirulent turkey hemorrhagic enteritis virus: A study of the molecular basis for variation in virulence and the occurrence of persistent infection</w:t>
        </w:r>
      </w:hyperlink>
      <w:r>
        <w:t>. Thesis.</w:t>
      </w:r>
    </w:p>
    <w:p w14:paraId="01693CDC" w14:textId="77777777" w:rsidR="001B7EE9" w:rsidRDefault="00000000">
      <w:pPr>
        <w:pStyle w:val="Bibliography"/>
      </w:pPr>
      <w:bookmarkStart w:id="26" w:name="ref-Beach2009a"/>
      <w:bookmarkEnd w:id="25"/>
      <w:r>
        <w:t xml:space="preserve">12. </w:t>
      </w:r>
      <w:r>
        <w:tab/>
        <w:t xml:space="preserve">Beach NM, Duncan RB, Larsen CT, Meng XJ, </w:t>
      </w:r>
      <w:proofErr w:type="spellStart"/>
      <w:r>
        <w:t>Sriranganathan</w:t>
      </w:r>
      <w:proofErr w:type="spellEnd"/>
      <w:r>
        <w:t xml:space="preserve"> N, Pierson FW. 2009. </w:t>
      </w:r>
      <w:hyperlink r:id="rId23">
        <w:r>
          <w:rPr>
            <w:rStyle w:val="Hyperlink"/>
          </w:rPr>
          <w:t>Comparison of 12 turkey hemorrhagic enteritis virus isolates allows prediction of genetic factors affecting virulence</w:t>
        </w:r>
      </w:hyperlink>
      <w:r>
        <w:t xml:space="preserve">. J Gen </w:t>
      </w:r>
      <w:proofErr w:type="spellStart"/>
      <w:r>
        <w:t>Virol</w:t>
      </w:r>
      <w:proofErr w:type="spellEnd"/>
      <w:r>
        <w:t xml:space="preserve"> 90:1978–85.</w:t>
      </w:r>
    </w:p>
    <w:p w14:paraId="3D50754D" w14:textId="77777777" w:rsidR="001B7EE9" w:rsidRDefault="00000000">
      <w:pPr>
        <w:pStyle w:val="Bibliography"/>
      </w:pPr>
      <w:bookmarkStart w:id="27" w:name="ref-Gross1967"/>
      <w:bookmarkEnd w:id="26"/>
      <w:r>
        <w:t xml:space="preserve">13. </w:t>
      </w:r>
      <w:r>
        <w:tab/>
        <w:t>Gross WB, Moore WE. 1967. Hemorrhagic enteritis of turkeys. Avian Dis 11:296–307.</w:t>
      </w:r>
    </w:p>
    <w:p w14:paraId="52B0D959" w14:textId="77777777" w:rsidR="001B7EE9" w:rsidRDefault="00000000">
      <w:pPr>
        <w:pStyle w:val="Bibliography"/>
      </w:pPr>
      <w:bookmarkStart w:id="28" w:name="ref-Rautenschlein2000"/>
      <w:bookmarkEnd w:id="27"/>
      <w:r>
        <w:t xml:space="preserve">14. </w:t>
      </w:r>
      <w:r>
        <w:tab/>
        <w:t xml:space="preserve">Rautenschlein S, Sharma JM. 2000. </w:t>
      </w:r>
      <w:hyperlink r:id="rId24">
        <w:r>
          <w:rPr>
            <w:rStyle w:val="Hyperlink"/>
          </w:rPr>
          <w:t xml:space="preserve">Immunopathogenesis of </w:t>
        </w:r>
        <w:proofErr w:type="spellStart"/>
        <w:r>
          <w:rPr>
            <w:rStyle w:val="Hyperlink"/>
          </w:rPr>
          <w:t>haemorrhagic</w:t>
        </w:r>
        <w:proofErr w:type="spellEnd"/>
        <w:r>
          <w:rPr>
            <w:rStyle w:val="Hyperlink"/>
          </w:rPr>
          <w:t xml:space="preserve"> enteritis virus (HEV) in turkeys</w:t>
        </w:r>
      </w:hyperlink>
      <w:r>
        <w:t>. Dev Comp Immunol 24:237–46.</w:t>
      </w:r>
    </w:p>
    <w:p w14:paraId="658F107C" w14:textId="77777777" w:rsidR="001B7EE9" w:rsidRDefault="00000000">
      <w:pPr>
        <w:pStyle w:val="Bibliography"/>
      </w:pPr>
      <w:bookmarkStart w:id="29" w:name="ref-Larsen1985"/>
      <w:bookmarkEnd w:id="28"/>
      <w:r>
        <w:t xml:space="preserve">15. </w:t>
      </w:r>
      <w:r>
        <w:tab/>
        <w:t xml:space="preserve">Larsen CT, </w:t>
      </w:r>
      <w:proofErr w:type="spellStart"/>
      <w:r>
        <w:t>Domermuth</w:t>
      </w:r>
      <w:proofErr w:type="spellEnd"/>
      <w:r>
        <w:t xml:space="preserve"> CH, </w:t>
      </w:r>
      <w:proofErr w:type="spellStart"/>
      <w:r>
        <w:t>Sponenberg</w:t>
      </w:r>
      <w:proofErr w:type="spellEnd"/>
      <w:r>
        <w:t xml:space="preserve"> DP, Gross WB. 1985. Colibacillosis of turkeys exacerbated by hemorrhagic enteritis virus. Laboratory studies. Avian Dis 29:729–32.</w:t>
      </w:r>
    </w:p>
    <w:p w14:paraId="3C784721" w14:textId="77777777" w:rsidR="001B7EE9" w:rsidRDefault="00000000">
      <w:pPr>
        <w:pStyle w:val="Bibliography"/>
      </w:pPr>
      <w:bookmarkStart w:id="30" w:name="ref-Dhama2017"/>
      <w:bookmarkEnd w:id="29"/>
      <w:r>
        <w:lastRenderedPageBreak/>
        <w:t xml:space="preserve">16. </w:t>
      </w:r>
      <w:r>
        <w:tab/>
      </w:r>
      <w:proofErr w:type="spellStart"/>
      <w:r>
        <w:t>Dhama</w:t>
      </w:r>
      <w:proofErr w:type="spellEnd"/>
      <w:r>
        <w:t xml:space="preserve"> K, </w:t>
      </w:r>
      <w:proofErr w:type="spellStart"/>
      <w:r>
        <w:t>Gowthaman</w:t>
      </w:r>
      <w:proofErr w:type="spellEnd"/>
      <w:r>
        <w:t xml:space="preserve"> V, Karthik K, Tiwari R, </w:t>
      </w:r>
      <w:proofErr w:type="spellStart"/>
      <w:r>
        <w:t>Sachan</w:t>
      </w:r>
      <w:proofErr w:type="spellEnd"/>
      <w:r>
        <w:t xml:space="preserve"> S, Kumar MA, </w:t>
      </w:r>
      <w:proofErr w:type="spellStart"/>
      <w:r>
        <w:t>Palanivelu</w:t>
      </w:r>
      <w:proofErr w:type="spellEnd"/>
      <w:r>
        <w:t xml:space="preserve"> M, Malik YS, Singh RK, Munir M. 2017. </w:t>
      </w:r>
      <w:hyperlink r:id="rId25">
        <w:proofErr w:type="spellStart"/>
        <w:r>
          <w:rPr>
            <w:rStyle w:val="Hyperlink"/>
          </w:rPr>
          <w:t>Haemorrhagic</w:t>
        </w:r>
        <w:proofErr w:type="spellEnd"/>
        <w:r>
          <w:rPr>
            <w:rStyle w:val="Hyperlink"/>
          </w:rPr>
          <w:t xml:space="preserve"> enteritis of turkeys – current knowledge</w:t>
        </w:r>
      </w:hyperlink>
      <w:r>
        <w:t>. Veterinary Quarterly 37:31–42.</w:t>
      </w:r>
    </w:p>
    <w:p w14:paraId="6D4D8DE9" w14:textId="77777777" w:rsidR="001B7EE9" w:rsidRDefault="00000000">
      <w:pPr>
        <w:pStyle w:val="Bibliography"/>
      </w:pPr>
      <w:bookmarkStart w:id="31" w:name="ref-Donovan2020"/>
      <w:bookmarkEnd w:id="30"/>
      <w:r>
        <w:t xml:space="preserve">17. </w:t>
      </w:r>
      <w:r>
        <w:tab/>
        <w:t xml:space="preserve">Donovan-Banfield I, </w:t>
      </w:r>
      <w:proofErr w:type="spellStart"/>
      <w:r>
        <w:t>Turnell</w:t>
      </w:r>
      <w:proofErr w:type="spellEnd"/>
      <w:r>
        <w:t xml:space="preserve"> AS, </w:t>
      </w:r>
      <w:proofErr w:type="spellStart"/>
      <w:r>
        <w:t>Hiscox</w:t>
      </w:r>
      <w:proofErr w:type="spellEnd"/>
      <w:r>
        <w:t xml:space="preserve"> JA, Leppard KN, Matthews DA. 2020. </w:t>
      </w:r>
      <w:hyperlink r:id="rId26">
        <w:r>
          <w:rPr>
            <w:rStyle w:val="Hyperlink"/>
          </w:rPr>
          <w:t>Deep splicing plasticity of the human adenovirus type 5 transcriptome drives virus evolution</w:t>
        </w:r>
      </w:hyperlink>
      <w:r>
        <w:t>. Communications Biology 3:124.</w:t>
      </w:r>
    </w:p>
    <w:p w14:paraId="534A0414" w14:textId="77777777" w:rsidR="001B7EE9" w:rsidRDefault="00000000">
      <w:pPr>
        <w:pStyle w:val="Bibliography"/>
      </w:pPr>
      <w:bookmarkStart w:id="32" w:name="ref-Zhao2014"/>
      <w:bookmarkEnd w:id="31"/>
      <w:r>
        <w:t xml:space="preserve">18. </w:t>
      </w:r>
      <w:r>
        <w:tab/>
        <w:t xml:space="preserve">Zhao H, Chen M, </w:t>
      </w:r>
      <w:proofErr w:type="spellStart"/>
      <w:r>
        <w:t>Pettersson</w:t>
      </w:r>
      <w:proofErr w:type="spellEnd"/>
      <w:r>
        <w:t xml:space="preserve"> U. 2014. </w:t>
      </w:r>
      <w:hyperlink r:id="rId27">
        <w:r>
          <w:rPr>
            <w:rStyle w:val="Hyperlink"/>
          </w:rPr>
          <w:t>A new look at adenovirus splicing</w:t>
        </w:r>
      </w:hyperlink>
      <w:r>
        <w:t>. Virology 456-457:329–341.</w:t>
      </w:r>
    </w:p>
    <w:p w14:paraId="598B4469" w14:textId="77777777" w:rsidR="001B7EE9" w:rsidRDefault="00000000">
      <w:pPr>
        <w:pStyle w:val="Bibliography"/>
      </w:pPr>
      <w:bookmarkStart w:id="33" w:name="ref-Wolfrum2013"/>
      <w:bookmarkEnd w:id="32"/>
      <w:r>
        <w:t xml:space="preserve">19. </w:t>
      </w:r>
      <w:r>
        <w:tab/>
      </w:r>
      <w:proofErr w:type="spellStart"/>
      <w:r>
        <w:t>Wolfrum</w:t>
      </w:r>
      <w:proofErr w:type="spellEnd"/>
      <w:r>
        <w:t xml:space="preserve"> N, </w:t>
      </w:r>
      <w:proofErr w:type="spellStart"/>
      <w:r>
        <w:t>Greber</w:t>
      </w:r>
      <w:proofErr w:type="spellEnd"/>
      <w:r>
        <w:t xml:space="preserve"> UF. 2013. </w:t>
      </w:r>
      <w:hyperlink r:id="rId28">
        <w:r>
          <w:rPr>
            <w:rStyle w:val="Hyperlink"/>
          </w:rPr>
          <w:t xml:space="preserve">Adenovirus </w:t>
        </w:r>
        <w:proofErr w:type="spellStart"/>
        <w:r>
          <w:rPr>
            <w:rStyle w:val="Hyperlink"/>
          </w:rPr>
          <w:t>signalling</w:t>
        </w:r>
        <w:proofErr w:type="spellEnd"/>
        <w:r>
          <w:rPr>
            <w:rStyle w:val="Hyperlink"/>
          </w:rPr>
          <w:t xml:space="preserve"> in entry</w:t>
        </w:r>
      </w:hyperlink>
      <w:r>
        <w:t xml:space="preserve">. Cell </w:t>
      </w:r>
      <w:proofErr w:type="spellStart"/>
      <w:r>
        <w:t>Microbiol</w:t>
      </w:r>
      <w:proofErr w:type="spellEnd"/>
      <w:r>
        <w:t xml:space="preserve"> 15:53–62.</w:t>
      </w:r>
    </w:p>
    <w:p w14:paraId="4ECC657B" w14:textId="77777777" w:rsidR="001B7EE9" w:rsidRDefault="00000000">
      <w:pPr>
        <w:pStyle w:val="Bibliography"/>
      </w:pPr>
      <w:bookmarkStart w:id="34" w:name="ref-Falvey1983"/>
      <w:bookmarkEnd w:id="33"/>
      <w:r>
        <w:t xml:space="preserve">20. </w:t>
      </w:r>
      <w:r>
        <w:tab/>
        <w:t xml:space="preserve">Falvey E, Ziff E. 1983. </w:t>
      </w:r>
      <w:hyperlink r:id="rId29">
        <w:r>
          <w:rPr>
            <w:rStyle w:val="Hyperlink"/>
          </w:rPr>
          <w:t>Sequence arrangement and protein coding capacity of the adenovirus type 2 "</w:t>
        </w:r>
        <w:proofErr w:type="spellStart"/>
        <w:r>
          <w:rPr>
            <w:rStyle w:val="Hyperlink"/>
          </w:rPr>
          <w:t>i</w:t>
        </w:r>
        <w:proofErr w:type="spellEnd"/>
        <w:r>
          <w:rPr>
            <w:rStyle w:val="Hyperlink"/>
          </w:rPr>
          <w:t>" leader</w:t>
        </w:r>
      </w:hyperlink>
      <w:r>
        <w:t>. Journal of Virology 45:185–191.</w:t>
      </w:r>
    </w:p>
    <w:p w14:paraId="125E0AC2" w14:textId="77777777" w:rsidR="001B7EE9" w:rsidRDefault="00000000">
      <w:pPr>
        <w:pStyle w:val="Bibliography"/>
      </w:pPr>
      <w:bookmarkStart w:id="35" w:name="ref-Morris2010"/>
      <w:bookmarkEnd w:id="34"/>
      <w:r>
        <w:t xml:space="preserve">21. </w:t>
      </w:r>
      <w:r>
        <w:tab/>
        <w:t xml:space="preserve">Morris SJ, Scott GE, Leppard KN. 2010. </w:t>
      </w:r>
      <w:hyperlink r:id="rId30">
        <w:r>
          <w:rPr>
            <w:rStyle w:val="Hyperlink"/>
          </w:rPr>
          <w:t>Adenovirus late-phase infection is controlled by a novel L4 promoter</w:t>
        </w:r>
      </w:hyperlink>
      <w:r>
        <w:t>. Journal of Virology 84:7096–7104.</w:t>
      </w:r>
    </w:p>
    <w:p w14:paraId="3CCF7D9B" w14:textId="77777777" w:rsidR="001B7EE9" w:rsidRDefault="00000000">
      <w:pPr>
        <w:pStyle w:val="Bibliography"/>
      </w:pPr>
      <w:bookmarkStart w:id="36" w:name="ref-Westergren2021"/>
      <w:bookmarkEnd w:id="35"/>
      <w:r>
        <w:t xml:space="preserve">22. </w:t>
      </w:r>
      <w:r>
        <w:tab/>
        <w:t xml:space="preserve">Westergren Jakobsson A, </w:t>
      </w:r>
      <w:proofErr w:type="spellStart"/>
      <w:r>
        <w:t>Segerman</w:t>
      </w:r>
      <w:proofErr w:type="spellEnd"/>
      <w:r>
        <w:t xml:space="preserve"> B, </w:t>
      </w:r>
      <w:proofErr w:type="spellStart"/>
      <w:r>
        <w:t>Wallerman</w:t>
      </w:r>
      <w:proofErr w:type="spellEnd"/>
      <w:r>
        <w:t xml:space="preserve"> O, </w:t>
      </w:r>
      <w:proofErr w:type="spellStart"/>
      <w:r>
        <w:t>Bergström</w:t>
      </w:r>
      <w:proofErr w:type="spellEnd"/>
      <w:r>
        <w:t xml:space="preserve"> Lind S, Zhao H, Rubin C-J, </w:t>
      </w:r>
      <w:proofErr w:type="spellStart"/>
      <w:r>
        <w:t>Pettersson</w:t>
      </w:r>
      <w:proofErr w:type="spellEnd"/>
      <w:r>
        <w:t xml:space="preserve"> U, </w:t>
      </w:r>
      <w:proofErr w:type="spellStart"/>
      <w:r>
        <w:t>Akusjärvi</w:t>
      </w:r>
      <w:proofErr w:type="spellEnd"/>
      <w:r>
        <w:t xml:space="preserve"> G. 2021. </w:t>
      </w:r>
      <w:hyperlink r:id="rId31">
        <w:r>
          <w:rPr>
            <w:rStyle w:val="Hyperlink"/>
          </w:rPr>
          <w:t>The human adenovirus 2 transcriptome: An amazing complexity of alternatively spliced mRNAs</w:t>
        </w:r>
      </w:hyperlink>
      <w:r>
        <w:t>. Journal of Virology 95.</w:t>
      </w:r>
    </w:p>
    <w:p w14:paraId="7F1287EF" w14:textId="77777777" w:rsidR="001B7EE9" w:rsidRDefault="00000000">
      <w:pPr>
        <w:pStyle w:val="Bibliography"/>
      </w:pPr>
      <w:bookmarkStart w:id="37" w:name="ref-Djebali2012"/>
      <w:bookmarkEnd w:id="36"/>
      <w:r>
        <w:t xml:space="preserve">23. </w:t>
      </w:r>
      <w:r>
        <w:tab/>
      </w:r>
      <w:proofErr w:type="spellStart"/>
      <w:r>
        <w:t>Djebali</w:t>
      </w:r>
      <w:proofErr w:type="spellEnd"/>
      <w:r>
        <w:t xml:space="preserve"> S, Davis CA, Merkel A, </w:t>
      </w:r>
      <w:proofErr w:type="spellStart"/>
      <w:r>
        <w:t>Dobin</w:t>
      </w:r>
      <w:proofErr w:type="spellEnd"/>
      <w:r>
        <w:t xml:space="preserve"> A, </w:t>
      </w:r>
      <w:proofErr w:type="spellStart"/>
      <w:r>
        <w:t>Lassmann</w:t>
      </w:r>
      <w:proofErr w:type="spellEnd"/>
      <w:r>
        <w:t xml:space="preserve"> T, Mortazavi A, </w:t>
      </w:r>
      <w:proofErr w:type="spellStart"/>
      <w:r>
        <w:t>Tanzer</w:t>
      </w:r>
      <w:proofErr w:type="spellEnd"/>
      <w:r>
        <w:t xml:space="preserve"> A, Lagarde J, Lin W, Schlesinger F, </w:t>
      </w:r>
      <w:proofErr w:type="spellStart"/>
      <w:r>
        <w:t>Xue</w:t>
      </w:r>
      <w:proofErr w:type="spellEnd"/>
      <w:r>
        <w:t xml:space="preserve"> C, </w:t>
      </w:r>
      <w:proofErr w:type="spellStart"/>
      <w:r>
        <w:t>Marinov</w:t>
      </w:r>
      <w:proofErr w:type="spellEnd"/>
      <w:r>
        <w:t xml:space="preserve"> GK, Khatun J, Williams BA, Zaleski C, </w:t>
      </w:r>
      <w:proofErr w:type="spellStart"/>
      <w:r>
        <w:t>Rozowsky</w:t>
      </w:r>
      <w:proofErr w:type="spellEnd"/>
      <w:r>
        <w:t xml:space="preserve"> J, </w:t>
      </w:r>
      <w:proofErr w:type="spellStart"/>
      <w:r>
        <w:t>Röder</w:t>
      </w:r>
      <w:proofErr w:type="spellEnd"/>
      <w:r>
        <w:t xml:space="preserve"> M, </w:t>
      </w:r>
      <w:proofErr w:type="spellStart"/>
      <w:r>
        <w:t>Kokocinski</w:t>
      </w:r>
      <w:proofErr w:type="spellEnd"/>
      <w:r>
        <w:t xml:space="preserve"> F, Abdelhamid RF, Alioto T, </w:t>
      </w:r>
      <w:proofErr w:type="spellStart"/>
      <w:r>
        <w:t>Antoshechkin</w:t>
      </w:r>
      <w:proofErr w:type="spellEnd"/>
      <w:r>
        <w:t xml:space="preserve"> I, Baer MT, Bar NS, </w:t>
      </w:r>
      <w:proofErr w:type="spellStart"/>
      <w:r>
        <w:t>Batut</w:t>
      </w:r>
      <w:proofErr w:type="spellEnd"/>
      <w:r>
        <w:t xml:space="preserve"> P, Bell K, Bell I, </w:t>
      </w:r>
      <w:proofErr w:type="spellStart"/>
      <w:r>
        <w:t>Chakrabortty</w:t>
      </w:r>
      <w:proofErr w:type="spellEnd"/>
      <w:r>
        <w:t xml:space="preserve"> S, Chen X, </w:t>
      </w:r>
      <w:proofErr w:type="spellStart"/>
      <w:r>
        <w:t>Chrast</w:t>
      </w:r>
      <w:proofErr w:type="spellEnd"/>
      <w:r>
        <w:t xml:space="preserve"> J, </w:t>
      </w:r>
      <w:proofErr w:type="spellStart"/>
      <w:r>
        <w:t>Curado</w:t>
      </w:r>
      <w:proofErr w:type="spellEnd"/>
      <w:r>
        <w:t xml:space="preserve"> J, </w:t>
      </w:r>
      <w:proofErr w:type="spellStart"/>
      <w:r>
        <w:t>Derrien</w:t>
      </w:r>
      <w:proofErr w:type="spellEnd"/>
      <w:r>
        <w:t xml:space="preserve"> T, </w:t>
      </w:r>
      <w:proofErr w:type="spellStart"/>
      <w:r>
        <w:t>Drenkow</w:t>
      </w:r>
      <w:proofErr w:type="spellEnd"/>
      <w:r>
        <w:t xml:space="preserve"> J, </w:t>
      </w:r>
      <w:proofErr w:type="spellStart"/>
      <w:r>
        <w:t>Dumais</w:t>
      </w:r>
      <w:proofErr w:type="spellEnd"/>
      <w:r>
        <w:t xml:space="preserve"> E, </w:t>
      </w:r>
      <w:proofErr w:type="spellStart"/>
      <w:r>
        <w:t>Dumais</w:t>
      </w:r>
      <w:proofErr w:type="spellEnd"/>
      <w:r>
        <w:t xml:space="preserve"> J, Duttagupta R, </w:t>
      </w:r>
      <w:proofErr w:type="spellStart"/>
      <w:r>
        <w:t>Falconnet</w:t>
      </w:r>
      <w:proofErr w:type="spellEnd"/>
      <w:r>
        <w:t xml:space="preserve"> E, </w:t>
      </w:r>
      <w:proofErr w:type="spellStart"/>
      <w:r>
        <w:t>Fastuca</w:t>
      </w:r>
      <w:proofErr w:type="spellEnd"/>
      <w:r>
        <w:t xml:space="preserve"> M, </w:t>
      </w:r>
      <w:proofErr w:type="spellStart"/>
      <w:r>
        <w:t>Fejes</w:t>
      </w:r>
      <w:proofErr w:type="spellEnd"/>
      <w:r>
        <w:t xml:space="preserve">-Toth K, Ferreira P, </w:t>
      </w:r>
      <w:proofErr w:type="spellStart"/>
      <w:r>
        <w:t>Foissac</w:t>
      </w:r>
      <w:proofErr w:type="spellEnd"/>
      <w:r>
        <w:t xml:space="preserve"> S, </w:t>
      </w:r>
      <w:proofErr w:type="spellStart"/>
      <w:r>
        <w:t>Fullwood</w:t>
      </w:r>
      <w:proofErr w:type="spellEnd"/>
      <w:r>
        <w:t xml:space="preserve"> MJ, Gao H, Gonzalez D, Gordon A, Gunawardena H, </w:t>
      </w:r>
      <w:proofErr w:type="spellStart"/>
      <w:r>
        <w:t>Howald</w:t>
      </w:r>
      <w:proofErr w:type="spellEnd"/>
      <w:r>
        <w:t xml:space="preserve"> C, Jha S, Johnson R, </w:t>
      </w:r>
      <w:proofErr w:type="spellStart"/>
      <w:r>
        <w:t>Kapranov</w:t>
      </w:r>
      <w:proofErr w:type="spellEnd"/>
      <w:r>
        <w:t xml:space="preserve"> P, King B, </w:t>
      </w:r>
      <w:proofErr w:type="spellStart"/>
      <w:r>
        <w:t>Kingswood</w:t>
      </w:r>
      <w:proofErr w:type="spellEnd"/>
      <w:r>
        <w:t xml:space="preserve"> C, Luo OJ, Park E, Persaud K, </w:t>
      </w:r>
      <w:proofErr w:type="spellStart"/>
      <w:r>
        <w:t>Preall</w:t>
      </w:r>
      <w:proofErr w:type="spellEnd"/>
      <w:r>
        <w:t xml:space="preserve"> JB, </w:t>
      </w:r>
      <w:proofErr w:type="spellStart"/>
      <w:r>
        <w:t>Ribeca</w:t>
      </w:r>
      <w:proofErr w:type="spellEnd"/>
      <w:r>
        <w:t xml:space="preserve"> P, Risk B, </w:t>
      </w:r>
      <w:proofErr w:type="spellStart"/>
      <w:r>
        <w:t>Robyr</w:t>
      </w:r>
      <w:proofErr w:type="spellEnd"/>
      <w:r>
        <w:t xml:space="preserve"> D, Sammeth M, Schaffer L, See L-H, Shahab A, </w:t>
      </w:r>
      <w:proofErr w:type="spellStart"/>
      <w:r>
        <w:t>Skancke</w:t>
      </w:r>
      <w:proofErr w:type="spellEnd"/>
      <w:r>
        <w:t xml:space="preserve"> J, Suzuki AM, Takahashi H, </w:t>
      </w:r>
      <w:proofErr w:type="spellStart"/>
      <w:r>
        <w:t>Tilgner</w:t>
      </w:r>
      <w:proofErr w:type="spellEnd"/>
      <w:r>
        <w:t xml:space="preserve"> H, Trout D, Walters N, Wang H, Wrobel J, Yu Y, </w:t>
      </w:r>
      <w:proofErr w:type="spellStart"/>
      <w:r>
        <w:t>Ruan</w:t>
      </w:r>
      <w:proofErr w:type="spellEnd"/>
      <w:r>
        <w:t xml:space="preserve"> X, </w:t>
      </w:r>
      <w:proofErr w:type="spellStart"/>
      <w:r>
        <w:t>Hayashizaki</w:t>
      </w:r>
      <w:proofErr w:type="spellEnd"/>
      <w:r>
        <w:t xml:space="preserve"> Y, Harrow J, Gerstein M, Hubbard T, Reymond A, </w:t>
      </w:r>
      <w:proofErr w:type="spellStart"/>
      <w:r>
        <w:t>Antonarakis</w:t>
      </w:r>
      <w:proofErr w:type="spellEnd"/>
      <w:r>
        <w:t xml:space="preserve"> SE, Hannon G, Giddings MC, </w:t>
      </w:r>
      <w:proofErr w:type="spellStart"/>
      <w:r>
        <w:t>Ruan</w:t>
      </w:r>
      <w:proofErr w:type="spellEnd"/>
      <w:r>
        <w:t xml:space="preserve"> Y, </w:t>
      </w:r>
      <w:proofErr w:type="spellStart"/>
      <w:r>
        <w:t>Wold</w:t>
      </w:r>
      <w:proofErr w:type="spellEnd"/>
      <w:r>
        <w:t xml:space="preserve"> B, </w:t>
      </w:r>
      <w:proofErr w:type="spellStart"/>
      <w:r>
        <w:t>Carninci</w:t>
      </w:r>
      <w:proofErr w:type="spellEnd"/>
      <w:r>
        <w:t xml:space="preserve"> P, </w:t>
      </w:r>
      <w:proofErr w:type="spellStart"/>
      <w:r>
        <w:t>Guigó</w:t>
      </w:r>
      <w:proofErr w:type="spellEnd"/>
      <w:r>
        <w:t xml:space="preserve"> R, </w:t>
      </w:r>
      <w:proofErr w:type="spellStart"/>
      <w:r>
        <w:t>Gingeras</w:t>
      </w:r>
      <w:proofErr w:type="spellEnd"/>
      <w:r>
        <w:t xml:space="preserve"> TR. 2012. </w:t>
      </w:r>
      <w:hyperlink r:id="rId32">
        <w:r>
          <w:rPr>
            <w:rStyle w:val="Hyperlink"/>
          </w:rPr>
          <w:t>Landscape of transcription in human cells</w:t>
        </w:r>
      </w:hyperlink>
      <w:r>
        <w:t>. Nature 489:101–108.</w:t>
      </w:r>
    </w:p>
    <w:p w14:paraId="04F5D9DC" w14:textId="77777777" w:rsidR="001B7EE9" w:rsidRDefault="00000000">
      <w:pPr>
        <w:pStyle w:val="Bibliography"/>
      </w:pPr>
      <w:bookmarkStart w:id="38" w:name="ref-Aboezz2019"/>
      <w:bookmarkEnd w:id="37"/>
      <w:r>
        <w:t xml:space="preserve">24. </w:t>
      </w:r>
      <w:r>
        <w:tab/>
      </w:r>
      <w:proofErr w:type="spellStart"/>
      <w:r>
        <w:t>Aboezz</w:t>
      </w:r>
      <w:proofErr w:type="spellEnd"/>
      <w:r>
        <w:t xml:space="preserve"> Z, </w:t>
      </w:r>
      <w:proofErr w:type="spellStart"/>
      <w:r>
        <w:t>Mahsoub</w:t>
      </w:r>
      <w:proofErr w:type="spellEnd"/>
      <w:r>
        <w:t xml:space="preserve"> H, El-</w:t>
      </w:r>
      <w:proofErr w:type="spellStart"/>
      <w:r>
        <w:t>Bagoury</w:t>
      </w:r>
      <w:proofErr w:type="spellEnd"/>
      <w:r>
        <w:t xml:space="preserve"> G, Pierson F. 2019. </w:t>
      </w:r>
      <w:hyperlink r:id="rId33">
        <w:r>
          <w:rPr>
            <w:rStyle w:val="Hyperlink"/>
          </w:rPr>
          <w:t xml:space="preserve">In vitro growth kinetics and gene expression analysis of the turkey adenovirus 3, a </w:t>
        </w:r>
        <w:proofErr w:type="spellStart"/>
        <w:r>
          <w:rPr>
            <w:rStyle w:val="Hyperlink"/>
          </w:rPr>
          <w:t>siadenovirus</w:t>
        </w:r>
        <w:proofErr w:type="spellEnd"/>
      </w:hyperlink>
      <w:r>
        <w:t>. Virus Research 263:47–54.</w:t>
      </w:r>
    </w:p>
    <w:p w14:paraId="66B36DF7" w14:textId="77777777" w:rsidR="001B7EE9" w:rsidRDefault="00000000">
      <w:pPr>
        <w:pStyle w:val="Bibliography"/>
      </w:pPr>
      <w:bookmarkStart w:id="39" w:name="ref-Pertea2016"/>
      <w:bookmarkEnd w:id="38"/>
      <w:r>
        <w:t xml:space="preserve">25. </w:t>
      </w:r>
      <w:r>
        <w:tab/>
      </w:r>
      <w:proofErr w:type="spellStart"/>
      <w:r>
        <w:t>Pertea</w:t>
      </w:r>
      <w:proofErr w:type="spellEnd"/>
      <w:r>
        <w:t xml:space="preserve"> M, Kim D, </w:t>
      </w:r>
      <w:proofErr w:type="spellStart"/>
      <w:r>
        <w:t>Pertea</w:t>
      </w:r>
      <w:proofErr w:type="spellEnd"/>
      <w:r>
        <w:t xml:space="preserve"> GM, Leek JT, </w:t>
      </w:r>
      <w:proofErr w:type="spellStart"/>
      <w:r>
        <w:t>Salzberg</w:t>
      </w:r>
      <w:proofErr w:type="spellEnd"/>
      <w:r>
        <w:t xml:space="preserve"> SL. 2016. </w:t>
      </w:r>
      <w:hyperlink r:id="rId34">
        <w:r>
          <w:rPr>
            <w:rStyle w:val="Hyperlink"/>
          </w:rPr>
          <w:t>Transcript-level expression analysis of RNA-seq experiments with HISAT, StringTie and ballgown</w:t>
        </w:r>
      </w:hyperlink>
      <w:r>
        <w:t>. Nature Protocols 11:1650–1667.</w:t>
      </w:r>
    </w:p>
    <w:p w14:paraId="0C8E7A8B" w14:textId="77777777" w:rsidR="001B7EE9" w:rsidRDefault="00000000">
      <w:pPr>
        <w:pStyle w:val="Bibliography"/>
      </w:pPr>
      <w:bookmarkStart w:id="40" w:name="ref-Ballgown"/>
      <w:bookmarkEnd w:id="39"/>
      <w:r>
        <w:t xml:space="preserve">26. </w:t>
      </w:r>
      <w:r>
        <w:tab/>
        <w:t>Jack Fu [</w:t>
      </w:r>
      <w:proofErr w:type="spellStart"/>
      <w:r>
        <w:t>Aut</w:t>
      </w:r>
      <w:proofErr w:type="spellEnd"/>
      <w:r>
        <w:t>], Alyssa C. Frazee [</w:t>
      </w:r>
      <w:proofErr w:type="spellStart"/>
      <w:r>
        <w:t>Aut</w:t>
      </w:r>
      <w:proofErr w:type="spellEnd"/>
      <w:r>
        <w:t xml:space="preserve">, Cre], </w:t>
      </w:r>
      <w:proofErr w:type="spellStart"/>
      <w:r>
        <w:t>LeonardoCollado</w:t>
      </w:r>
      <w:proofErr w:type="spellEnd"/>
      <w:r>
        <w:t>-Torres [</w:t>
      </w:r>
      <w:proofErr w:type="spellStart"/>
      <w:r>
        <w:t>Aut</w:t>
      </w:r>
      <w:proofErr w:type="spellEnd"/>
      <w:r>
        <w:t>], Andrew E. Jaffe [</w:t>
      </w:r>
      <w:proofErr w:type="spellStart"/>
      <w:r>
        <w:t>Aut</w:t>
      </w:r>
      <w:proofErr w:type="spellEnd"/>
      <w:r>
        <w:t xml:space="preserve">], Jeffrey T. </w:t>
      </w:r>
      <w:proofErr w:type="gramStart"/>
      <w:r>
        <w:t>Leek[</w:t>
      </w:r>
      <w:proofErr w:type="spellStart"/>
      <w:proofErr w:type="gramEnd"/>
      <w:r>
        <w:t>Aut</w:t>
      </w:r>
      <w:proofErr w:type="spellEnd"/>
      <w:r>
        <w:t xml:space="preserve">, </w:t>
      </w:r>
      <w:proofErr w:type="spellStart"/>
      <w:r>
        <w:t>Ths</w:t>
      </w:r>
      <w:proofErr w:type="spellEnd"/>
      <w:r>
        <w:t xml:space="preserve">]. 2017. </w:t>
      </w:r>
      <w:hyperlink r:id="rId35">
        <w:r>
          <w:rPr>
            <w:rStyle w:val="Hyperlink"/>
          </w:rPr>
          <w:t>Ballgown</w:t>
        </w:r>
      </w:hyperlink>
      <w:r>
        <w:t>. Bioconductor.</w:t>
      </w:r>
    </w:p>
    <w:p w14:paraId="50FFE9DB" w14:textId="77777777" w:rsidR="001B7EE9" w:rsidRDefault="00000000">
      <w:pPr>
        <w:pStyle w:val="Bibliography"/>
      </w:pPr>
      <w:bookmarkStart w:id="41" w:name="ref-Pitcovski1998"/>
      <w:bookmarkEnd w:id="40"/>
      <w:r>
        <w:t xml:space="preserve">27. </w:t>
      </w:r>
      <w:r>
        <w:tab/>
      </w:r>
      <w:proofErr w:type="spellStart"/>
      <w:r>
        <w:t>Pitcovski</w:t>
      </w:r>
      <w:proofErr w:type="spellEnd"/>
      <w:r>
        <w:t xml:space="preserve"> J, </w:t>
      </w:r>
      <w:proofErr w:type="spellStart"/>
      <w:r>
        <w:t>Mualem</w:t>
      </w:r>
      <w:proofErr w:type="spellEnd"/>
      <w:r>
        <w:t xml:space="preserve"> M, Rei-</w:t>
      </w:r>
      <w:proofErr w:type="spellStart"/>
      <w:r>
        <w:t>Koren</w:t>
      </w:r>
      <w:proofErr w:type="spellEnd"/>
      <w:r>
        <w:t xml:space="preserve"> Z, </w:t>
      </w:r>
      <w:proofErr w:type="spellStart"/>
      <w:r>
        <w:t>Krispel</w:t>
      </w:r>
      <w:proofErr w:type="spellEnd"/>
      <w:r>
        <w:t xml:space="preserve"> S, </w:t>
      </w:r>
      <w:proofErr w:type="spellStart"/>
      <w:r>
        <w:t>Shmueli</w:t>
      </w:r>
      <w:proofErr w:type="spellEnd"/>
      <w:r>
        <w:t xml:space="preserve"> E, </w:t>
      </w:r>
      <w:proofErr w:type="spellStart"/>
      <w:r>
        <w:t>Peretz</w:t>
      </w:r>
      <w:proofErr w:type="spellEnd"/>
      <w:r>
        <w:t xml:space="preserve"> Y, Gutter B, </w:t>
      </w:r>
      <w:proofErr w:type="spellStart"/>
      <w:r>
        <w:t>Gallili</w:t>
      </w:r>
      <w:proofErr w:type="spellEnd"/>
      <w:r>
        <w:t xml:space="preserve"> GE, Michael A, Goldberg D. 1998. </w:t>
      </w:r>
      <w:hyperlink r:id="rId36">
        <w:r>
          <w:rPr>
            <w:rStyle w:val="Hyperlink"/>
          </w:rPr>
          <w:t>The complete DNA sequence and genome organization of the avian adenovirus, hemorrhagic enteritis virus</w:t>
        </w:r>
      </w:hyperlink>
      <w:r>
        <w:t>. Virology 249:307–315.</w:t>
      </w:r>
    </w:p>
    <w:p w14:paraId="04BB5BB7" w14:textId="77777777" w:rsidR="001B7EE9" w:rsidRDefault="00000000">
      <w:pPr>
        <w:pStyle w:val="Bibliography"/>
      </w:pPr>
      <w:bookmarkStart w:id="42" w:name="ref-Yueh1996"/>
      <w:bookmarkEnd w:id="41"/>
      <w:r>
        <w:t xml:space="preserve">28. </w:t>
      </w:r>
      <w:r>
        <w:tab/>
        <w:t xml:space="preserve">Yueh A, Schneider RJ. 1996. </w:t>
      </w:r>
      <w:hyperlink r:id="rId37">
        <w:r>
          <w:rPr>
            <w:rStyle w:val="Hyperlink"/>
          </w:rPr>
          <w:t>Selective translation initiation by ribosome jumping in adenovirus-infected and heat-shocked cells.</w:t>
        </w:r>
      </w:hyperlink>
      <w:r>
        <w:t xml:space="preserve"> Genes &amp;amp; Development 10:1557–1567.</w:t>
      </w:r>
    </w:p>
    <w:p w14:paraId="22BA3733" w14:textId="77777777" w:rsidR="001B7EE9" w:rsidRDefault="00000000">
      <w:pPr>
        <w:pStyle w:val="Bibliography"/>
      </w:pPr>
      <w:bookmarkStart w:id="43" w:name="ref-Akusjarvi2008"/>
      <w:bookmarkEnd w:id="42"/>
      <w:r>
        <w:t xml:space="preserve">29. </w:t>
      </w:r>
      <w:r>
        <w:tab/>
      </w:r>
      <w:proofErr w:type="spellStart"/>
      <w:r>
        <w:t>Akusjarvi</w:t>
      </w:r>
      <w:proofErr w:type="spellEnd"/>
      <w:r>
        <w:t xml:space="preserve"> G. 2008. </w:t>
      </w:r>
      <w:hyperlink r:id="rId38">
        <w:r>
          <w:rPr>
            <w:rStyle w:val="Hyperlink"/>
          </w:rPr>
          <w:t>Temporal regulation of adenovirus major late alternative RNA splicing</w:t>
        </w:r>
      </w:hyperlink>
      <w:r>
        <w:t>. Frontiers in Bioscience Volume:5006.</w:t>
      </w:r>
    </w:p>
    <w:p w14:paraId="5CE47073" w14:textId="77777777" w:rsidR="001B7EE9" w:rsidRDefault="00000000">
      <w:pPr>
        <w:pStyle w:val="Bibliography"/>
      </w:pPr>
      <w:bookmarkStart w:id="44" w:name="ref-Mahsoub2017"/>
      <w:bookmarkEnd w:id="43"/>
      <w:r>
        <w:lastRenderedPageBreak/>
        <w:t xml:space="preserve">30. </w:t>
      </w:r>
      <w:r>
        <w:tab/>
      </w:r>
      <w:proofErr w:type="spellStart"/>
      <w:r>
        <w:t>Mahsoub</w:t>
      </w:r>
      <w:proofErr w:type="spellEnd"/>
      <w:r>
        <w:t xml:space="preserve"> HM, Evans NP, Beach NM, Yuan L, Zimmerman K, Pierson FW. 2017. </w:t>
      </w:r>
      <w:hyperlink r:id="rId39">
        <w:r>
          <w:rPr>
            <w:rStyle w:val="Hyperlink"/>
          </w:rPr>
          <w:t>Real-time PCR-based infectivity assay for the titration of turkey hemorrhagic enteritis virus, an adenovirus, in live vaccines</w:t>
        </w:r>
      </w:hyperlink>
      <w:r>
        <w:t>. Journal of Virological Methods 239:42–49.</w:t>
      </w:r>
    </w:p>
    <w:p w14:paraId="42BACC36" w14:textId="77777777" w:rsidR="001B7EE9" w:rsidRDefault="00000000">
      <w:pPr>
        <w:pStyle w:val="Bibliography"/>
      </w:pPr>
      <w:bookmarkStart w:id="45" w:name="ref-Green2019"/>
      <w:bookmarkEnd w:id="44"/>
      <w:r>
        <w:t xml:space="preserve">31. </w:t>
      </w:r>
      <w:r>
        <w:tab/>
        <w:t xml:space="preserve">Green MR, Sambrook J. 2019. </w:t>
      </w:r>
      <w:hyperlink r:id="rId40">
        <w:r>
          <w:rPr>
            <w:rStyle w:val="Hyperlink"/>
          </w:rPr>
          <w:t>Rapid amplification of sequences from the 3’ ends of mRNAs: 3’-RACE</w:t>
        </w:r>
      </w:hyperlink>
      <w:r>
        <w:t>. Cold Spring Harbor Protocols 2019:</w:t>
      </w:r>
      <w:proofErr w:type="gramStart"/>
      <w:r>
        <w:t>pdb.prot</w:t>
      </w:r>
      <w:proofErr w:type="gramEnd"/>
      <w:r>
        <w:t>095216.</w:t>
      </w:r>
    </w:p>
    <w:p w14:paraId="133904B1" w14:textId="77777777" w:rsidR="001B7EE9" w:rsidRDefault="00000000">
      <w:pPr>
        <w:pStyle w:val="Bibliography"/>
      </w:pPr>
      <w:bookmarkStart w:id="46" w:name="ref-Snakemake2021"/>
      <w:bookmarkEnd w:id="45"/>
      <w:r>
        <w:t xml:space="preserve">32. </w:t>
      </w:r>
      <w:r>
        <w:tab/>
      </w:r>
      <w:proofErr w:type="spellStart"/>
      <w:r>
        <w:t>Mölder</w:t>
      </w:r>
      <w:proofErr w:type="spellEnd"/>
      <w:r>
        <w:t xml:space="preserve"> F, Jablonski KP, Letcher B, Hall MB, Tomkins-</w:t>
      </w:r>
      <w:proofErr w:type="spellStart"/>
      <w:r>
        <w:t>Tinch</w:t>
      </w:r>
      <w:proofErr w:type="spellEnd"/>
      <w:r>
        <w:t xml:space="preserve"> CH, </w:t>
      </w:r>
      <w:proofErr w:type="spellStart"/>
      <w:r>
        <w:t>Sochat</w:t>
      </w:r>
      <w:proofErr w:type="spellEnd"/>
      <w:r>
        <w:t xml:space="preserve"> V, Forster J, Lee S, </w:t>
      </w:r>
      <w:proofErr w:type="spellStart"/>
      <w:r>
        <w:t>Twardziok</w:t>
      </w:r>
      <w:proofErr w:type="spellEnd"/>
      <w:r>
        <w:t xml:space="preserve"> SO, </w:t>
      </w:r>
      <w:proofErr w:type="spellStart"/>
      <w:r>
        <w:t>Kanitz</w:t>
      </w:r>
      <w:proofErr w:type="spellEnd"/>
      <w:r>
        <w:t xml:space="preserve"> A, </w:t>
      </w:r>
      <w:proofErr w:type="spellStart"/>
      <w:r>
        <w:t>Wilm</w:t>
      </w:r>
      <w:proofErr w:type="spellEnd"/>
      <w:r>
        <w:t xml:space="preserve"> A, </w:t>
      </w:r>
      <w:proofErr w:type="spellStart"/>
      <w:r>
        <w:t>Holtgrewe</w:t>
      </w:r>
      <w:proofErr w:type="spellEnd"/>
      <w:r>
        <w:t xml:space="preserve"> M, </w:t>
      </w:r>
      <w:proofErr w:type="spellStart"/>
      <w:r>
        <w:t>Rahmann</w:t>
      </w:r>
      <w:proofErr w:type="spellEnd"/>
      <w:r>
        <w:t xml:space="preserve"> S, </w:t>
      </w:r>
      <w:proofErr w:type="spellStart"/>
      <w:r>
        <w:t>Nahnsen</w:t>
      </w:r>
      <w:proofErr w:type="spellEnd"/>
      <w:r>
        <w:t xml:space="preserve"> S, </w:t>
      </w:r>
      <w:proofErr w:type="spellStart"/>
      <w:r>
        <w:t>Köster</w:t>
      </w:r>
      <w:proofErr w:type="spellEnd"/>
      <w:r>
        <w:t xml:space="preserve"> J. 2021. </w:t>
      </w:r>
      <w:hyperlink r:id="rId41">
        <w:r>
          <w:rPr>
            <w:rStyle w:val="Hyperlink"/>
          </w:rPr>
          <w:t xml:space="preserve">Sustainable data analysis with </w:t>
        </w:r>
        <w:proofErr w:type="spellStart"/>
        <w:r>
          <w:rPr>
            <w:rStyle w:val="Hyperlink"/>
          </w:rPr>
          <w:t>snakemake</w:t>
        </w:r>
        <w:proofErr w:type="spellEnd"/>
      </w:hyperlink>
      <w:r>
        <w:t>. F1000Research 10:33.</w:t>
      </w:r>
    </w:p>
    <w:p w14:paraId="0D75C24F" w14:textId="77777777" w:rsidR="001B7EE9" w:rsidRDefault="00000000">
      <w:pPr>
        <w:pStyle w:val="Bibliography"/>
      </w:pPr>
      <w:bookmarkStart w:id="47" w:name="ref-TrimGalore"/>
      <w:bookmarkEnd w:id="46"/>
      <w:r>
        <w:t xml:space="preserve">33. </w:t>
      </w:r>
      <w:r>
        <w:tab/>
        <w:t xml:space="preserve">Krueger F, James F, </w:t>
      </w:r>
      <w:proofErr w:type="spellStart"/>
      <w:r>
        <w:t>Ewels</w:t>
      </w:r>
      <w:proofErr w:type="spellEnd"/>
      <w:r>
        <w:t xml:space="preserve"> P, </w:t>
      </w:r>
      <w:proofErr w:type="spellStart"/>
      <w:r>
        <w:t>Afyounian</w:t>
      </w:r>
      <w:proofErr w:type="spellEnd"/>
      <w:r>
        <w:t xml:space="preserve"> E, Weinstein M, Schuster-</w:t>
      </w:r>
      <w:proofErr w:type="spellStart"/>
      <w:r>
        <w:t>Boeckler</w:t>
      </w:r>
      <w:proofErr w:type="spellEnd"/>
      <w:r>
        <w:t xml:space="preserve"> B, </w:t>
      </w:r>
      <w:proofErr w:type="spellStart"/>
      <w:r>
        <w:t>Hulselmans</w:t>
      </w:r>
      <w:proofErr w:type="spellEnd"/>
      <w:r>
        <w:t xml:space="preserve"> G, </w:t>
      </w:r>
      <w:proofErr w:type="spellStart"/>
      <w:r>
        <w:t>Sclamons</w:t>
      </w:r>
      <w:proofErr w:type="spellEnd"/>
      <w:r>
        <w:t xml:space="preserve">. 2023. </w:t>
      </w:r>
      <w:hyperlink r:id="rId42">
        <w:proofErr w:type="spellStart"/>
        <w:r>
          <w:rPr>
            <w:rStyle w:val="Hyperlink"/>
          </w:rPr>
          <w:t>FelixKrueger</w:t>
        </w:r>
        <w:proofErr w:type="spellEnd"/>
        <w:r>
          <w:rPr>
            <w:rStyle w:val="Hyperlink"/>
          </w:rPr>
          <w:t>/</w:t>
        </w:r>
        <w:proofErr w:type="spellStart"/>
        <w:r>
          <w:rPr>
            <w:rStyle w:val="Hyperlink"/>
          </w:rPr>
          <w:t>TrimGalore</w:t>
        </w:r>
        <w:proofErr w:type="spellEnd"/>
        <w:r>
          <w:rPr>
            <w:rStyle w:val="Hyperlink"/>
          </w:rPr>
          <w:t>: v0.6.10 - add default decompression path</w:t>
        </w:r>
      </w:hyperlink>
      <w:r>
        <w:t xml:space="preserve">. </w:t>
      </w:r>
      <w:proofErr w:type="spellStart"/>
      <w:r>
        <w:t>Zenodo</w:t>
      </w:r>
      <w:proofErr w:type="spellEnd"/>
      <w:r>
        <w:t>.</w:t>
      </w:r>
    </w:p>
    <w:bookmarkEnd w:id="15"/>
    <w:bookmarkEnd w:id="47"/>
    <w:p w14:paraId="79AC1987" w14:textId="77777777" w:rsidR="001B7EE9" w:rsidRDefault="00000000">
      <w:r>
        <w:br w:type="page"/>
      </w:r>
    </w:p>
    <w:p w14:paraId="5A5C3F29" w14:textId="77777777" w:rsidR="001B7EE9" w:rsidRDefault="00000000">
      <w:pPr>
        <w:pStyle w:val="Heading2"/>
      </w:pPr>
      <w:bookmarkStart w:id="48" w:name="tables-and-figures"/>
      <w:bookmarkEnd w:id="13"/>
      <w:r>
        <w:lastRenderedPageBreak/>
        <w:t>TABLES AND FIGURES</w:t>
      </w:r>
    </w:p>
    <w:p w14:paraId="1FEFF01F" w14:textId="77777777" w:rsidR="001B7EE9" w:rsidRDefault="00000000">
      <w:pPr>
        <w:pStyle w:val="CaptionedFigure"/>
      </w:pPr>
      <w:r>
        <w:rPr>
          <w:noProof/>
        </w:rPr>
        <w:drawing>
          <wp:inline distT="0" distB="0" distL="0" distR="0" wp14:anchorId="5F3F4F2F" wp14:editId="1ACDAE78">
            <wp:extent cx="5943600" cy="3467099"/>
            <wp:effectExtent l="0" t="0" r="0" b="0"/>
            <wp:docPr id="1" name="Picture"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wp:cNvGraphicFramePr/>
            <a:graphic xmlns:a="http://schemas.openxmlformats.org/drawingml/2006/main">
              <a:graphicData uri="http://schemas.openxmlformats.org/drawingml/2006/picture">
                <pic:pic xmlns:pic="http://schemas.openxmlformats.org/drawingml/2006/picture">
                  <pic:nvPicPr>
                    <pic:cNvPr id="2" name="Picture" descr="results/r/figures/thev_orf_map.png"/>
                    <pic:cNvPicPr>
                      <a:picLocks noChangeAspect="1" noChangeArrowheads="1"/>
                    </pic:cNvPicPr>
                  </pic:nvPicPr>
                  <pic:blipFill>
                    <a:blip r:embed="rId43"/>
                    <a:stretch>
                      <a:fillRect/>
                    </a:stretch>
                  </pic:blipFill>
                  <pic:spPr bwMode="auto">
                    <a:xfrm>
                      <a:off x="0" y="0"/>
                      <a:ext cx="5943600" cy="3467099"/>
                    </a:xfrm>
                    <a:prstGeom prst="rect">
                      <a:avLst/>
                    </a:prstGeom>
                    <a:noFill/>
                    <a:ln w="9525">
                      <a:noFill/>
                      <a:headEnd/>
                      <a:tailEnd/>
                    </a:ln>
                  </pic:spPr>
                </pic:pic>
              </a:graphicData>
            </a:graphic>
          </wp:inline>
        </w:drawing>
      </w:r>
    </w:p>
    <w:p w14:paraId="52DBA223" w14:textId="77777777" w:rsidR="001B7EE9" w:rsidRDefault="00000000">
      <w:pPr>
        <w:pStyle w:val="ImageCaption"/>
      </w:pPr>
      <w:r>
        <w:rPr>
          <w:b/>
          <w:bCs/>
        </w:rPr>
        <w:t>Figure 1. Predicted ORF map of THEV avirulent strain.</w:t>
      </w:r>
      <w:r>
        <w:t xml:space="preserve">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w:t>
      </w:r>
    </w:p>
    <w:p w14:paraId="4EE8007D" w14:textId="77777777" w:rsidR="001B7EE9" w:rsidRDefault="00000000">
      <w:pPr>
        <w:pStyle w:val="CaptionedFigure"/>
      </w:pPr>
      <w:r>
        <w:rPr>
          <w:noProof/>
        </w:rPr>
        <w:lastRenderedPageBreak/>
        <w:drawing>
          <wp:inline distT="0" distB="0" distL="0" distR="0" wp14:anchorId="5FAAF6C0" wp14:editId="3CC916B1">
            <wp:extent cx="5943600" cy="6792685"/>
            <wp:effectExtent l="0" t="0" r="0" b="0"/>
            <wp:docPr id="3" name="Picture"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wp:cNvGraphicFramePr/>
            <a:graphic xmlns:a="http://schemas.openxmlformats.org/drawingml/2006/main">
              <a:graphicData uri="http://schemas.openxmlformats.org/drawingml/2006/picture">
                <pic:pic xmlns:pic="http://schemas.openxmlformats.org/drawingml/2006/picture">
                  <pic:nvPicPr>
                    <pic:cNvPr id="4" name="Picture" descr="results/r/figures/fig_2.png"/>
                    <pic:cNvPicPr>
                      <a:picLocks noChangeAspect="1" noChangeArrowheads="1"/>
                    </pic:cNvPicPr>
                  </pic:nvPicPr>
                  <pic:blipFill>
                    <a:blip r:embed="rId44"/>
                    <a:stretch>
                      <a:fillRect/>
                    </a:stretch>
                  </pic:blipFill>
                  <pic:spPr bwMode="auto">
                    <a:xfrm>
                      <a:off x="0" y="0"/>
                      <a:ext cx="5943600" cy="6792685"/>
                    </a:xfrm>
                    <a:prstGeom prst="rect">
                      <a:avLst/>
                    </a:prstGeom>
                    <a:noFill/>
                    <a:ln w="9525">
                      <a:noFill/>
                      <a:headEnd/>
                      <a:tailEnd/>
                    </a:ln>
                  </pic:spPr>
                </pic:pic>
              </a:graphicData>
            </a:graphic>
          </wp:inline>
        </w:drawing>
      </w:r>
    </w:p>
    <w:p w14:paraId="3567AB34" w14:textId="77777777" w:rsidR="001B7EE9" w:rsidRDefault="00000000">
      <w:pPr>
        <w:pStyle w:val="ImageCaption"/>
      </w:pPr>
      <w:r>
        <w:rPr>
          <w:b/>
          <w:bCs/>
        </w:rPr>
        <w:t>Figure 2: Increasing levels of THEV over time. A) Per base coverage of sequence reads mapping to THEV genome by time point.</w:t>
      </w:r>
      <w:r>
        <w:t xml:space="preserve"> The pileup of mRNA reads mapping to THEV genome at the base-pair level for each indicated time point. </w:t>
      </w:r>
      <w:r>
        <w:rPr>
          <w:b/>
          <w:bCs/>
        </w:rPr>
        <w:t>B) Growth curve of THEV (VAS vaccine strain) in MDTC-RP19 cell line.</w:t>
      </w:r>
      <w:r>
        <w:t xml:space="preserve"> Virus titers in the freeze-thawed supernatant from infected cells were a quantified with a qPCR assay. There is no discernible increase in virus titer up 12 </w:t>
      </w:r>
      <w:proofErr w:type="spellStart"/>
      <w:r>
        <w:t>hpi</w:t>
      </w:r>
      <w:proofErr w:type="spellEnd"/>
      <w:r>
        <w:t xml:space="preserve">, after which a steady increase in virus titer is measured. The virus titer expands exponentially beginning from 48 </w:t>
      </w:r>
      <w:proofErr w:type="spellStart"/>
      <w:r>
        <w:t>hpi</w:t>
      </w:r>
      <w:proofErr w:type="spellEnd"/>
      <w:r>
        <w:t xml:space="preserve">, increasing by orders of magnitude before reaching a plateau at 120 </w:t>
      </w:r>
      <w:proofErr w:type="spellStart"/>
      <w:r>
        <w:t>hpi</w:t>
      </w:r>
      <w:proofErr w:type="spellEnd"/>
      <w:r>
        <w:t>. GCN: genome copy number.</w:t>
      </w:r>
    </w:p>
    <w:p w14:paraId="651FC407" w14:textId="77777777" w:rsidR="001B7EE9" w:rsidRDefault="00000000">
      <w:pPr>
        <w:pStyle w:val="CaptionedFigure"/>
      </w:pPr>
      <w:r>
        <w:rPr>
          <w:noProof/>
        </w:rPr>
        <w:lastRenderedPageBreak/>
        <w:drawing>
          <wp:inline distT="0" distB="0" distL="0" distR="0" wp14:anchorId="09785035" wp14:editId="67A9B4CD">
            <wp:extent cx="5943600" cy="7641771"/>
            <wp:effectExtent l="0" t="0" r="0" b="0"/>
            <wp:docPr id="5" name="Picture"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wp:cNvGraphicFramePr/>
            <a:graphic xmlns:a="http://schemas.openxmlformats.org/drawingml/2006/main">
              <a:graphicData uri="http://schemas.openxmlformats.org/drawingml/2006/picture">
                <pic:pic xmlns:pic="http://schemas.openxmlformats.org/drawingml/2006/picture">
                  <pic:nvPicPr>
                    <pic:cNvPr id="6" name="Picture" descr="results/r/figures/figure3.png"/>
                    <pic:cNvPicPr>
                      <a:picLocks noChangeAspect="1" noChangeArrowheads="1"/>
                    </pic:cNvPicPr>
                  </pic:nvPicPr>
                  <pic:blipFill>
                    <a:blip r:embed="rId45"/>
                    <a:stretch>
                      <a:fillRect/>
                    </a:stretch>
                  </pic:blipFill>
                  <pic:spPr bwMode="auto">
                    <a:xfrm>
                      <a:off x="0" y="0"/>
                      <a:ext cx="5943600" cy="7641771"/>
                    </a:xfrm>
                    <a:prstGeom prst="rect">
                      <a:avLst/>
                    </a:prstGeom>
                    <a:noFill/>
                    <a:ln w="9525">
                      <a:noFill/>
                      <a:headEnd/>
                      <a:tailEnd/>
                    </a:ln>
                  </pic:spPr>
                </pic:pic>
              </a:graphicData>
            </a:graphic>
          </wp:inline>
        </w:drawing>
      </w:r>
    </w:p>
    <w:p w14:paraId="0EB02E17" w14:textId="77777777" w:rsidR="001B7EE9" w:rsidRDefault="00000000">
      <w:pPr>
        <w:pStyle w:val="ImageCaption"/>
      </w:pPr>
      <w:r>
        <w:rPr>
          <w:b/>
          <w:bCs/>
        </w:rPr>
        <w:t>Figure 3. A) Transcriptome of THEV from RNA-seq.</w:t>
      </w:r>
      <w:r>
        <w:t xml:space="preserve">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w:t>
      </w:r>
      <w:r>
        <w:lastRenderedPageBreak/>
        <w:t xml:space="preserve">of TUs in the THEV genome is unsurprisingly similar to </w:t>
      </w:r>
      <w:proofErr w:type="spellStart"/>
      <w:r>
        <w:t>MAdVs</w:t>
      </w:r>
      <w:proofErr w:type="spellEnd"/>
      <w:r>
        <w:t xml:space="preserve">; however, the </w:t>
      </w:r>
      <w:proofErr w:type="spellStart"/>
      <w:r>
        <w:t>MAdV</w:t>
      </w:r>
      <w:proofErr w:type="spellEnd"/>
      <w:r>
        <w:t xml:space="preserve"> genome shows significantly more transcripts. The TUs are color coded: E1 transcripts - red, E2 - black, E3 - dark grey, E4 - green, MLTU - blue. Predicted ORFs are also indicated here, colored light grey. </w:t>
      </w:r>
      <w:r>
        <w:rPr>
          <w:b/>
          <w:bCs/>
        </w:rPr>
        <w:t>B) THEV transcripts identified at given time points.</w:t>
      </w:r>
      <w:r>
        <w:t xml:space="preserve"> Transcripts are color coded as explained in </w:t>
      </w:r>
      <w:r>
        <w:rPr>
          <w:b/>
          <w:bCs/>
        </w:rPr>
        <w:t>(A)</w:t>
      </w:r>
      <w:r>
        <w:t>.</w:t>
      </w:r>
    </w:p>
    <w:p w14:paraId="51063595" w14:textId="77777777" w:rsidR="00490200" w:rsidRDefault="00490200">
      <w:pPr>
        <w:pStyle w:val="ImageCaption"/>
      </w:pPr>
    </w:p>
    <w:p w14:paraId="70B2D0BE" w14:textId="6B140A1E" w:rsidR="00490200" w:rsidRDefault="00490200">
      <w:pPr>
        <w:pStyle w:val="ImageCaption"/>
      </w:pPr>
      <w:r>
        <w:t>s</w:t>
      </w:r>
    </w:p>
    <w:p w14:paraId="17E4F143" w14:textId="77777777" w:rsidR="001B7EE9" w:rsidRDefault="00000000">
      <w:pPr>
        <w:pStyle w:val="CaptionedFigure"/>
      </w:pPr>
      <w:r>
        <w:rPr>
          <w:noProof/>
        </w:rPr>
        <w:drawing>
          <wp:inline distT="0" distB="0" distL="0" distR="0" wp14:anchorId="748A1B79" wp14:editId="714CEC96">
            <wp:extent cx="5943600" cy="3714750"/>
            <wp:effectExtent l="0" t="0" r="0" b="0"/>
            <wp:docPr id="7" name="Picture"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wp:cNvGraphicFramePr/>
            <a:graphic xmlns:a="http://schemas.openxmlformats.org/drawingml/2006/main">
              <a:graphicData uri="http://schemas.openxmlformats.org/drawingml/2006/picture">
                <pic:pic xmlns:pic="http://schemas.openxmlformats.org/drawingml/2006/picture">
                  <pic:nvPicPr>
                    <pic:cNvPr id="8" name="Picture" descr="results/r/figures/figure_4a_d.png"/>
                    <pic:cNvPicPr>
                      <a:picLocks noChangeAspect="1" noChangeArrowheads="1"/>
                    </pic:cNvPicPr>
                  </pic:nvPicPr>
                  <pic:blipFill>
                    <a:blip r:embed="rId46"/>
                    <a:stretch>
                      <a:fillRect/>
                    </a:stretch>
                  </pic:blipFill>
                  <pic:spPr bwMode="auto">
                    <a:xfrm>
                      <a:off x="0" y="0"/>
                      <a:ext cx="5943600" cy="3714750"/>
                    </a:xfrm>
                    <a:prstGeom prst="rect">
                      <a:avLst/>
                    </a:prstGeom>
                    <a:noFill/>
                    <a:ln w="9525">
                      <a:noFill/>
                      <a:headEnd/>
                      <a:tailEnd/>
                    </a:ln>
                  </pic:spPr>
                </pic:pic>
              </a:graphicData>
            </a:graphic>
          </wp:inline>
        </w:drawing>
      </w:r>
    </w:p>
    <w:p w14:paraId="45086710" w14:textId="77777777" w:rsidR="001B7EE9" w:rsidRDefault="00000000">
      <w:pPr>
        <w:pStyle w:val="ImageCaption"/>
      </w:pPr>
      <w:r>
        <w:rPr>
          <w:b/>
          <w:bCs/>
        </w:rPr>
        <w:t>Figure 4: Changes in splicing and expression profile of THEV over time.</w:t>
      </w:r>
      <w:r>
        <w:t xml:space="preserve"> </w:t>
      </w:r>
      <w:r>
        <w:rPr>
          <w:b/>
          <w:bCs/>
        </w:rPr>
        <w:t>A) Normalized (FPKM) expression levels of transcripts over time.</w:t>
      </w:r>
      <w:r>
        <w:t xml:space="preserve"> The expression levels (FPKM) of individual transcripts as a percentage of the total expression of all transcripts at each time point are indicated. Only transcripts from our RNA-seq data are included here. </w:t>
      </w:r>
      <w:r>
        <w:rPr>
          <w:b/>
          <w:bCs/>
        </w:rPr>
        <w:t>B) Normalized (FPKM) expression levels of transcripts by region over time.</w:t>
      </w:r>
      <w:r>
        <w:t xml:space="preserve"> The expression levels of each region/TU as a percentage of the total expression of all transcripts at each time point are indicated. Region expression levels were calculated by summing up the FPKMs of all transcripts categorized in that region. </w:t>
      </w:r>
      <w:r>
        <w:rPr>
          <w:b/>
          <w:bCs/>
        </w:rPr>
        <w:t>C) Relative abundances of all splice junctions grouped by region/TU over time.</w:t>
      </w:r>
      <w:r>
        <w:t xml:space="preserv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w:t>
      </w:r>
      <w:r>
        <w:rPr>
          <w:b/>
          <w:bCs/>
        </w:rPr>
        <w:t>D) Relative abundances of junctions in transcriptome grouped by region/TU over time.</w:t>
      </w:r>
      <w:r>
        <w:t xml:space="preserve"> This is identical to </w:t>
      </w:r>
      <w:r>
        <w:rPr>
          <w:b/>
          <w:bCs/>
        </w:rPr>
        <w:t>(C)</w:t>
      </w:r>
      <w:r>
        <w:t>, except that only the junctions found in the full transcriptome obtained from the RNA-seq data were included.</w:t>
      </w:r>
    </w:p>
    <w:p w14:paraId="6E66B4D7" w14:textId="77777777" w:rsidR="001B7EE9" w:rsidRDefault="00000000">
      <w:pPr>
        <w:pStyle w:val="CaptionedFigure"/>
      </w:pPr>
      <w:r>
        <w:rPr>
          <w:noProof/>
        </w:rPr>
        <w:lastRenderedPageBreak/>
        <w:drawing>
          <wp:inline distT="0" distB="0" distL="0" distR="0" wp14:anchorId="2F1D2B75" wp14:editId="0D18EFD0">
            <wp:extent cx="5943600" cy="3566159"/>
            <wp:effectExtent l="0" t="0" r="0" b="0"/>
            <wp:docPr id="9" name="Picture"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wp:cNvGraphicFramePr/>
            <a:graphic xmlns:a="http://schemas.openxmlformats.org/drawingml/2006/main">
              <a:graphicData uri="http://schemas.openxmlformats.org/drawingml/2006/picture">
                <pic:pic xmlns:pic="http://schemas.openxmlformats.org/drawingml/2006/picture">
                  <pic:nvPicPr>
                    <pic:cNvPr id="10" name="Picture" descr="results/r/figures/figure_5a_d.png"/>
                    <pic:cNvPicPr>
                      <a:picLocks noChangeAspect="1" noChangeArrowheads="1"/>
                    </pic:cNvPicPr>
                  </pic:nvPicPr>
                  <pic:blipFill>
                    <a:blip r:embed="rId47"/>
                    <a:stretch>
                      <a:fillRect/>
                    </a:stretch>
                  </pic:blipFill>
                  <pic:spPr bwMode="auto">
                    <a:xfrm>
                      <a:off x="0" y="0"/>
                      <a:ext cx="5943600" cy="3566159"/>
                    </a:xfrm>
                    <a:prstGeom prst="rect">
                      <a:avLst/>
                    </a:prstGeom>
                    <a:noFill/>
                    <a:ln w="9525">
                      <a:noFill/>
                      <a:headEnd/>
                      <a:tailEnd/>
                    </a:ln>
                  </pic:spPr>
                </pic:pic>
              </a:graphicData>
            </a:graphic>
          </wp:inline>
        </w:drawing>
      </w:r>
    </w:p>
    <w:p w14:paraId="753488C0" w14:textId="77777777" w:rsidR="001B7EE9" w:rsidRDefault="00000000">
      <w:pPr>
        <w:pStyle w:val="ImageCaption"/>
      </w:pPr>
      <w:r>
        <w:rPr>
          <w:b/>
          <w:bCs/>
        </w:rPr>
        <w:t>Figure 5: Changes in splice donor-acceptor nucleotides over time.</w:t>
      </w:r>
      <w:r>
        <w:t xml:space="preserve"> The splice donor-acceptor nucleotides of THEV just like other AdVs is mostly the canonical GU-AG. At early time points (4h.p.i and 12h.p.i </w:t>
      </w:r>
      <w:r>
        <w:rPr>
          <w:b/>
          <w:bCs/>
        </w:rPr>
        <w:t>(A)</w:t>
      </w:r>
      <w:r>
        <w:t xml:space="preserve"> and </w:t>
      </w:r>
      <w:r>
        <w:rPr>
          <w:b/>
          <w:bCs/>
        </w:rPr>
        <w:t>(B)</w:t>
      </w:r>
      <w:r>
        <w:t xml:space="preserve">, respectively) the junction nucleotides used appear to be well scrutinized or restricted, utilizing mostly the canonical splice nucleotides. However, as the infection progresses to the late stages (24h.p.i and 72h.p.i </w:t>
      </w:r>
      <w:r>
        <w:rPr>
          <w:b/>
          <w:bCs/>
        </w:rPr>
        <w:t>(C)</w:t>
      </w:r>
      <w:r>
        <w:t xml:space="preserve"> and </w:t>
      </w:r>
      <w:r>
        <w:rPr>
          <w:b/>
          <w:bCs/>
        </w:rPr>
        <w:t>(D)</w:t>
      </w:r>
      <w:r>
        <w:t>, respectively), the selectivity of specific splice acceptor-donor pairs seems to degenerate significantly, such that all combinations of nucleotides are utilized.</w:t>
      </w:r>
    </w:p>
    <w:p w14:paraId="7B6F161F" w14:textId="77777777" w:rsidR="001B7EE9" w:rsidRDefault="00000000">
      <w:pPr>
        <w:pStyle w:val="CaptionedFigure"/>
      </w:pPr>
      <w:r>
        <w:rPr>
          <w:noProof/>
        </w:rPr>
        <w:lastRenderedPageBreak/>
        <w:drawing>
          <wp:inline distT="0" distB="0" distL="0" distR="0" wp14:anchorId="10B4BCE8" wp14:editId="00BFC88E">
            <wp:extent cx="5943600" cy="5283200"/>
            <wp:effectExtent l="0" t="0" r="0" b="0"/>
            <wp:docPr id="11" name="Picture"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12" name="Picture" descr="results/r/figures/figure_6.png"/>
                    <pic:cNvPicPr>
                      <a:picLocks noChangeAspect="1" noChangeArrowheads="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14:paraId="6FB0A483" w14:textId="77777777" w:rsidR="001B7EE9" w:rsidRDefault="00000000">
      <w:pPr>
        <w:pStyle w:val="ImageCaption"/>
      </w:pPr>
      <w:r>
        <w:rPr>
          <w:b/>
          <w:bCs/>
        </w:rPr>
        <w:t>Figure 6: The splice map of the E1 transcription unit (TU).</w:t>
      </w:r>
      <w:r>
        <w:t xml:space="preserve">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14:paraId="66A41C2A" w14:textId="77777777" w:rsidR="001B7EE9" w:rsidRDefault="00000000">
      <w:pPr>
        <w:pStyle w:val="CaptionedFigure"/>
      </w:pPr>
      <w:r>
        <w:rPr>
          <w:noProof/>
        </w:rPr>
        <w:lastRenderedPageBreak/>
        <w:drawing>
          <wp:inline distT="0" distB="0" distL="0" distR="0" wp14:anchorId="587DB2DF" wp14:editId="6943F332">
            <wp:extent cx="5943600" cy="5283200"/>
            <wp:effectExtent l="0" t="0" r="0" b="0"/>
            <wp:docPr id="13" name="Picture"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14" name="Picture" descr="results/r/figures/figure_7.png"/>
                    <pic:cNvPicPr>
                      <a:picLocks noChangeAspect="1" noChangeArrowheads="1"/>
                    </pic:cNvPicPr>
                  </pic:nvPicPr>
                  <pic:blipFill>
                    <a:blip r:embed="rId49"/>
                    <a:stretch>
                      <a:fillRect/>
                    </a:stretch>
                  </pic:blipFill>
                  <pic:spPr bwMode="auto">
                    <a:xfrm>
                      <a:off x="0" y="0"/>
                      <a:ext cx="5943600" cy="5283200"/>
                    </a:xfrm>
                    <a:prstGeom prst="rect">
                      <a:avLst/>
                    </a:prstGeom>
                    <a:noFill/>
                    <a:ln w="9525">
                      <a:noFill/>
                      <a:headEnd/>
                      <a:tailEnd/>
                    </a:ln>
                  </pic:spPr>
                </pic:pic>
              </a:graphicData>
            </a:graphic>
          </wp:inline>
        </w:drawing>
      </w:r>
    </w:p>
    <w:p w14:paraId="40D96AB9" w14:textId="77777777" w:rsidR="001B7EE9" w:rsidRDefault="00000000">
      <w:pPr>
        <w:pStyle w:val="ImageCaption"/>
      </w:pPr>
      <w:r>
        <w:rPr>
          <w:b/>
          <w:bCs/>
        </w:rPr>
        <w:t>Figure 7: The splice map of the E2 and IM TUs.</w:t>
      </w:r>
      <w:r>
        <w:t xml:space="preserve">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14:paraId="6FE01186" w14:textId="77777777" w:rsidR="001B7EE9" w:rsidRDefault="00000000">
      <w:pPr>
        <w:pStyle w:val="CaptionedFigure"/>
      </w:pPr>
      <w:r>
        <w:rPr>
          <w:noProof/>
        </w:rPr>
        <w:lastRenderedPageBreak/>
        <w:drawing>
          <wp:inline distT="0" distB="0" distL="0" distR="0" wp14:anchorId="6ED5B6D4" wp14:editId="17D3D1EA">
            <wp:extent cx="5943600" cy="5283200"/>
            <wp:effectExtent l="0" t="0" r="0" b="0"/>
            <wp:docPr id="15" name="Picture"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16" name="Picture" descr="results/r/figures/figure_8.png"/>
                    <pic:cNvPicPr>
                      <a:picLocks noChangeAspect="1" noChangeArrowheads="1"/>
                    </pic:cNvPicPr>
                  </pic:nvPicPr>
                  <pic:blipFill>
                    <a:blip r:embed="rId50"/>
                    <a:stretch>
                      <a:fillRect/>
                    </a:stretch>
                  </pic:blipFill>
                  <pic:spPr bwMode="auto">
                    <a:xfrm>
                      <a:off x="0" y="0"/>
                      <a:ext cx="5943600" cy="5283200"/>
                    </a:xfrm>
                    <a:prstGeom prst="rect">
                      <a:avLst/>
                    </a:prstGeom>
                    <a:noFill/>
                    <a:ln w="9525">
                      <a:noFill/>
                      <a:headEnd/>
                      <a:tailEnd/>
                    </a:ln>
                  </pic:spPr>
                </pic:pic>
              </a:graphicData>
            </a:graphic>
          </wp:inline>
        </w:drawing>
      </w:r>
    </w:p>
    <w:p w14:paraId="020D251D" w14:textId="77777777" w:rsidR="001B7EE9" w:rsidRDefault="00000000">
      <w:pPr>
        <w:pStyle w:val="ImageCaption"/>
      </w:pPr>
      <w:r>
        <w:rPr>
          <w:b/>
          <w:bCs/>
        </w:rPr>
        <w:t>Figure 8: The splice map of the E3 TU.</w:t>
      </w:r>
      <w:r>
        <w:t xml:space="preserve">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w:t>
      </w:r>
      <w:proofErr w:type="spellStart"/>
      <w:r>
        <w:t>secSC</w:t>
      </w:r>
      <w:proofErr w:type="spellEnd"/>
      <w:r>
        <w:t>) and secondary STC (</w:t>
      </w:r>
      <w:proofErr w:type="spellStart"/>
      <w:r>
        <w:t>secSTC</w:t>
      </w:r>
      <w:proofErr w:type="spellEnd"/>
      <w:r>
        <w:t>)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14:paraId="4D557E82" w14:textId="77777777" w:rsidR="001B7EE9" w:rsidRDefault="00000000">
      <w:pPr>
        <w:pStyle w:val="CaptionedFigure"/>
      </w:pPr>
      <w:r>
        <w:rPr>
          <w:noProof/>
        </w:rPr>
        <w:lastRenderedPageBreak/>
        <w:drawing>
          <wp:inline distT="0" distB="0" distL="0" distR="0" wp14:anchorId="3428AAE4" wp14:editId="1730BF1A">
            <wp:extent cx="5943600" cy="2971800"/>
            <wp:effectExtent l="0" t="0" r="0" b="0"/>
            <wp:docPr id="17" name="Picture"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18" name="Picture" descr="results/r/figures/figure_9.png"/>
                    <pic:cNvPicPr>
                      <a:picLocks noChangeAspect="1" noChangeArrowheads="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14:paraId="63E32B2D" w14:textId="77777777" w:rsidR="001B7EE9" w:rsidRDefault="00000000">
      <w:pPr>
        <w:pStyle w:val="ImageCaption"/>
      </w:pPr>
      <w:r>
        <w:rPr>
          <w:b/>
          <w:bCs/>
        </w:rPr>
        <w:t>Figure 9: The splice map of the E4 TU.</w:t>
      </w:r>
      <w:r>
        <w:t xml:space="preserve">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14:paraId="1CFC480C" w14:textId="77777777" w:rsidR="001B7EE9" w:rsidRDefault="00000000">
      <w:r>
        <w:br w:type="page"/>
      </w:r>
    </w:p>
    <w:p w14:paraId="1564C104" w14:textId="77777777" w:rsidR="001B7EE9" w:rsidRDefault="00000000">
      <w:pPr>
        <w:pStyle w:val="CaptionedFigure"/>
      </w:pPr>
      <w:r>
        <w:rPr>
          <w:noProof/>
        </w:rPr>
        <w:lastRenderedPageBreak/>
        <w:drawing>
          <wp:inline distT="0" distB="0" distL="0" distR="0" wp14:anchorId="44200CDB" wp14:editId="1C9A012E">
            <wp:extent cx="5943600" cy="5283200"/>
            <wp:effectExtent l="0" t="0" r="0" b="0"/>
            <wp:docPr id="19" name="Picture"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wp:cNvGraphicFramePr/>
            <a:graphic xmlns:a="http://schemas.openxmlformats.org/drawingml/2006/main">
              <a:graphicData uri="http://schemas.openxmlformats.org/drawingml/2006/picture">
                <pic:pic xmlns:pic="http://schemas.openxmlformats.org/drawingml/2006/picture">
                  <pic:nvPicPr>
                    <pic:cNvPr id="20" name="Picture" descr="results/r/figures/figure_10.png"/>
                    <pic:cNvPicPr>
                      <a:picLocks noChangeAspect="1" noChangeArrowheads="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14:paraId="554D62F6" w14:textId="77777777" w:rsidR="001B7EE9" w:rsidRDefault="00000000">
      <w:pPr>
        <w:pStyle w:val="ImageCaption"/>
      </w:pPr>
      <w:r>
        <w:rPr>
          <w:b/>
          <w:bCs/>
        </w:rPr>
        <w:t>Figure 10: The splice map of the MLTU.</w:t>
      </w:r>
      <w:r>
        <w:t xml:space="preserve">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w:t>
      </w:r>
      <w:proofErr w:type="spellStart"/>
      <w:r>
        <w:t>secSC</w:t>
      </w:r>
      <w:proofErr w:type="spellEnd"/>
      <w:r>
        <w:t>) and secondary STC (</w:t>
      </w:r>
      <w:proofErr w:type="spellStart"/>
      <w:r>
        <w:t>secSTC</w:t>
      </w:r>
      <w:proofErr w:type="spellEnd"/>
      <w:r>
        <w:t>)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14:paraId="14DA4D2A" w14:textId="77777777" w:rsidR="001B7EE9" w:rsidRDefault="00000000">
      <w:r>
        <w:br w:type="page"/>
      </w:r>
    </w:p>
    <w:p w14:paraId="15CEF6EA" w14:textId="77777777" w:rsidR="001B7EE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1: Overview of sequencing results</w:t>
      </w:r>
    </w:p>
    <w:tbl>
      <w:tblPr>
        <w:tblW w:w="0" w:type="auto"/>
        <w:tblLayout w:type="fixed"/>
        <w:tblLook w:val="0420" w:firstRow="1" w:lastRow="0" w:firstColumn="0" w:lastColumn="0" w:noHBand="0" w:noVBand="1"/>
      </w:tblPr>
      <w:tblGrid>
        <w:gridCol w:w="2160"/>
        <w:gridCol w:w="1080"/>
        <w:gridCol w:w="1080"/>
        <w:gridCol w:w="1080"/>
        <w:gridCol w:w="1080"/>
        <w:gridCol w:w="1080"/>
      </w:tblGrid>
      <w:tr w:rsidR="001B7EE9" w14:paraId="42B115AC" w14:textId="77777777">
        <w:trPr>
          <w:cantSplit/>
          <w:tblHeader/>
        </w:trPr>
        <w:tc>
          <w:tcPr>
            <w:tcW w:w="216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FE31A6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Metric</w:t>
            </w:r>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6784EB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4h.</w:t>
            </w:r>
            <w:proofErr w:type="gramStart"/>
            <w:r>
              <w:rPr>
                <w:rFonts w:ascii="Avenir" w:eastAsia="Avenir" w:hAnsi="Avenir" w:cs="Avenir"/>
                <w:b/>
                <w:color w:val="000000"/>
                <w:sz w:val="16"/>
                <w:szCs w:val="16"/>
              </w:rPr>
              <w:t>p.i</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06F800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ascii="Avenir" w:eastAsia="Avenir" w:hAnsi="Avenir" w:cs="Avenir"/>
                <w:b/>
                <w:color w:val="000000"/>
                <w:sz w:val="16"/>
                <w:szCs w:val="16"/>
              </w:rPr>
              <w:t>12h.p.i</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08FF21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ascii="Avenir" w:eastAsia="Avenir" w:hAnsi="Avenir" w:cs="Avenir"/>
                <w:b/>
                <w:color w:val="000000"/>
                <w:sz w:val="16"/>
                <w:szCs w:val="16"/>
              </w:rPr>
              <w:t>24h.p.i</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D487E1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gramStart"/>
            <w:r>
              <w:rPr>
                <w:rFonts w:ascii="Avenir" w:eastAsia="Avenir" w:hAnsi="Avenir" w:cs="Avenir"/>
                <w:b/>
                <w:color w:val="000000"/>
                <w:sz w:val="16"/>
                <w:szCs w:val="16"/>
              </w:rPr>
              <w:t>72h.p.i</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119B7E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Total</w:t>
            </w:r>
          </w:p>
        </w:tc>
      </w:tr>
      <w:tr w:rsidR="001B7EE9" w14:paraId="02E6BB7D"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9951E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Total reads</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AE7223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1.17e+08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01987E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7.63e+07</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E7E970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1.20e+08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74F50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1.15e+08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6E8252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4.28e+08</w:t>
            </w:r>
          </w:p>
        </w:tc>
      </w:tr>
      <w:tr w:rsidR="001B7EE9" w14:paraId="0F1C8B5F"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36E3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Mapped </w:t>
            </w:r>
            <w:r>
              <w:rPr>
                <w:rFonts w:ascii="Avenir" w:eastAsia="Avenir" w:hAnsi="Avenir" w:cs="Avenir"/>
                <w:b/>
                <w:color w:val="000000"/>
                <w:sz w:val="16"/>
                <w:szCs w:val="16"/>
              </w:rPr>
              <w:br/>
              <w:t xml:space="preserve"> (Host)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842F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1.04e+08 </w:t>
            </w:r>
            <w:r>
              <w:rPr>
                <w:rFonts w:ascii="Avenir" w:eastAsia="Avenir" w:hAnsi="Avenir" w:cs="Avenir"/>
                <w:color w:val="000000"/>
                <w:sz w:val="16"/>
                <w:szCs w:val="16"/>
              </w:rPr>
              <w:br/>
              <w:t>(89.06%)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D1E4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6.79e+07 </w:t>
            </w:r>
            <w:r>
              <w:rPr>
                <w:rFonts w:ascii="Avenir" w:eastAsia="Avenir" w:hAnsi="Avenir" w:cs="Avenir"/>
                <w:color w:val="000000"/>
                <w:sz w:val="16"/>
                <w:szCs w:val="16"/>
              </w:rPr>
              <w:br/>
              <w:t>(89.0393%)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F2D8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1.06e+08 </w:t>
            </w:r>
            <w:r>
              <w:rPr>
                <w:rFonts w:ascii="Avenir" w:eastAsia="Avenir" w:hAnsi="Avenir" w:cs="Avenir"/>
                <w:color w:val="000000"/>
                <w:sz w:val="16"/>
                <w:szCs w:val="16"/>
              </w:rPr>
              <w:br/>
              <w:t>(88.2719%)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2ACE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8.38e+07 </w:t>
            </w:r>
            <w:r>
              <w:rPr>
                <w:rFonts w:ascii="Avenir" w:eastAsia="Avenir" w:hAnsi="Avenir" w:cs="Avenir"/>
                <w:color w:val="000000"/>
                <w:sz w:val="16"/>
                <w:szCs w:val="16"/>
              </w:rPr>
              <w:br/>
              <w:t>(72.9802%)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C0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3.62e+08</w:t>
            </w:r>
          </w:p>
        </w:tc>
      </w:tr>
      <w:tr w:rsidR="001B7EE9" w14:paraId="6D64E7D8"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1B6B8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Mapped </w:t>
            </w:r>
            <w:r>
              <w:rPr>
                <w:rFonts w:ascii="Avenir" w:eastAsia="Avenir" w:hAnsi="Avenir" w:cs="Avenir"/>
                <w:b/>
                <w:color w:val="000000"/>
                <w:sz w:val="16"/>
                <w:szCs w:val="16"/>
              </w:rPr>
              <w:br/>
              <w:t xml:space="preserve"> (THEV)</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7F9778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4.32e+02 </w:t>
            </w:r>
            <w:r>
              <w:rPr>
                <w:rFonts w:ascii="Avenir" w:eastAsia="Avenir" w:hAnsi="Avenir" w:cs="Avenir"/>
                <w:color w:val="000000"/>
                <w:sz w:val="16"/>
                <w:szCs w:val="16"/>
              </w:rPr>
              <w:br/>
              <w:t>( 0.0004%)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86B738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6.70e+03 </w:t>
            </w:r>
            <w:r>
              <w:rPr>
                <w:rFonts w:ascii="Avenir" w:eastAsia="Avenir" w:hAnsi="Avenir" w:cs="Avenir"/>
                <w:color w:val="000000"/>
                <w:sz w:val="16"/>
                <w:szCs w:val="16"/>
              </w:rPr>
              <w:br/>
              <w:t>( 0.0088%)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D3CA53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1.18e+06 </w:t>
            </w:r>
            <w:r>
              <w:rPr>
                <w:rFonts w:ascii="Avenir" w:eastAsia="Avenir" w:hAnsi="Avenir" w:cs="Avenir"/>
                <w:color w:val="000000"/>
                <w:sz w:val="16"/>
                <w:szCs w:val="16"/>
              </w:rPr>
              <w:br/>
              <w:t>( 0.9841%)</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A9B034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1.69e+07 </w:t>
            </w:r>
            <w:r>
              <w:rPr>
                <w:rFonts w:ascii="Avenir" w:eastAsia="Avenir" w:hAnsi="Avenir" w:cs="Avenir"/>
                <w:color w:val="000000"/>
                <w:sz w:val="16"/>
                <w:szCs w:val="16"/>
              </w:rPr>
              <w:br/>
              <w:t>(14.6904%)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7D97B8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1.81e+07</w:t>
            </w:r>
          </w:p>
        </w:tc>
      </w:tr>
      <w:tr w:rsidR="001B7EE9" w14:paraId="0F863B2C"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F48C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Mean Per Base </w:t>
            </w:r>
            <w:r>
              <w:rPr>
                <w:rFonts w:ascii="Avenir" w:eastAsia="Avenir" w:hAnsi="Avenir" w:cs="Avenir"/>
                <w:b/>
                <w:color w:val="000000"/>
                <w:sz w:val="16"/>
                <w:szCs w:val="16"/>
              </w:rPr>
              <w:br/>
              <w:t xml:space="preserve"> Coverage/Depth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79EC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4A1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37.71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EB36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 6,666.96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DFE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 xml:space="preserve"> 95,041.7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B2DB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101,749</w:t>
            </w:r>
          </w:p>
        </w:tc>
      </w:tr>
      <w:tr w:rsidR="001B7EE9" w14:paraId="74B3F713"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98D17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Total unique </w:t>
            </w:r>
            <w:r>
              <w:rPr>
                <w:rFonts w:ascii="Avenir" w:eastAsia="Avenir" w:hAnsi="Avenir" w:cs="Avenir"/>
                <w:b/>
                <w:color w:val="000000"/>
                <w:sz w:val="16"/>
                <w:szCs w:val="16"/>
              </w:rPr>
              <w:br/>
              <w:t xml:space="preserve"> splice junctions</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A88AD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13</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E30DF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37</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D9B3E2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236</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7AC496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2,374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788586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2,457</w:t>
            </w:r>
          </w:p>
        </w:tc>
      </w:tr>
      <w:tr w:rsidR="001B7EE9" w14:paraId="793E2BF2"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A92A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Total (at least 1 read)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A03F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5E92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444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115,075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E19B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2.13e+06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EEC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2.25e+06</w:t>
            </w:r>
          </w:p>
        </w:tc>
      </w:tr>
      <w:tr w:rsidR="001B7EE9" w14:paraId="2CFD3808"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28D31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Mean reads</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636A35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2.8</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92460B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16.4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9E79A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487.6</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AF136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898.4</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89292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351.3</w:t>
            </w:r>
          </w:p>
        </w:tc>
      </w:tr>
      <w:tr w:rsidR="001B7EE9" w14:paraId="6AD8CA51"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B437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(at least 10 reads)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7E7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026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D514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4DFC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1,791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A735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1,936</w:t>
            </w:r>
          </w:p>
        </w:tc>
      </w:tr>
      <w:tr w:rsidR="001B7EE9" w14:paraId="277B8953"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D6783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(at least 100 reads)</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3CEBA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0</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CCE4AD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11A8B7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53</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264971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805</w:t>
            </w:r>
          </w:p>
        </w:tc>
        <w:tc>
          <w:tcPr>
            <w:tcW w:w="108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051EC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859</w:t>
            </w:r>
          </w:p>
        </w:tc>
      </w:tr>
      <w:tr w:rsidR="001B7EE9" w14:paraId="51FA80EE" w14:textId="77777777">
        <w:trPr>
          <w:cantSplit/>
        </w:trPr>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0006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b/>
                <w:color w:val="000000"/>
                <w:sz w:val="16"/>
                <w:szCs w:val="16"/>
              </w:rPr>
              <w:t xml:space="preserve">Junction coverage </w:t>
            </w:r>
            <w:r>
              <w:rPr>
                <w:rFonts w:ascii="Avenir" w:eastAsia="Avenir" w:hAnsi="Avenir" w:cs="Avenir"/>
                <w:b/>
                <w:color w:val="000000"/>
                <w:sz w:val="16"/>
                <w:szCs w:val="16"/>
              </w:rPr>
              <w:br/>
              <w:t xml:space="preserve"> (at least 1000 reads)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B712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2FA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CDF0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4B11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B676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venir" w:eastAsia="Avenir" w:hAnsi="Avenir" w:cs="Avenir"/>
                <w:color w:val="000000"/>
                <w:sz w:val="16"/>
                <w:szCs w:val="16"/>
              </w:rPr>
              <w:t>186</w:t>
            </w:r>
          </w:p>
        </w:tc>
      </w:tr>
    </w:tbl>
    <w:p w14:paraId="1231123D" w14:textId="77777777" w:rsidR="001B7EE9" w:rsidRDefault="00000000">
      <w:r>
        <w:br w:type="page"/>
      </w:r>
    </w:p>
    <w:p w14:paraId="7F957796" w14:textId="77777777" w:rsidR="001B7EE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2a: Most abundant splice junctions at 12h.p.i</w:t>
      </w:r>
    </w:p>
    <w:tbl>
      <w:tblPr>
        <w:tblW w:w="0" w:type="auto"/>
        <w:tblLayout w:type="fixed"/>
        <w:tblLook w:val="0420" w:firstRow="1" w:lastRow="0" w:firstColumn="0" w:lastColumn="0" w:noHBand="0" w:noVBand="1"/>
      </w:tblPr>
      <w:tblGrid>
        <w:gridCol w:w="1008"/>
        <w:gridCol w:w="1008"/>
        <w:gridCol w:w="1008"/>
        <w:gridCol w:w="1008"/>
        <w:gridCol w:w="1098"/>
        <w:gridCol w:w="918"/>
        <w:gridCol w:w="1008"/>
        <w:gridCol w:w="1728"/>
      </w:tblGrid>
      <w:tr w:rsidR="001B7EE9" w14:paraId="3F8A54DA" w14:textId="77777777" w:rsidTr="00490200">
        <w:trPr>
          <w:cantSplit/>
          <w:tblHeader/>
        </w:trPr>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419B5F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Timepoint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967BEE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Strand</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C13271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Start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5CE82C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End</w:t>
            </w:r>
          </w:p>
        </w:tc>
        <w:tc>
          <w:tcPr>
            <w:tcW w:w="109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E7BF0C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venir" w:eastAsia="Avenir" w:hAnsi="Avenir" w:cs="Avenir"/>
                <w:b/>
                <w:color w:val="000000"/>
                <w:sz w:val="16"/>
                <w:szCs w:val="16"/>
              </w:rPr>
              <w:t>Splice_Site</w:t>
            </w:r>
            <w:proofErr w:type="spellEnd"/>
          </w:p>
        </w:tc>
        <w:tc>
          <w:tcPr>
            <w:tcW w:w="91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3D0A5A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Region</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670140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Intron Length</w:t>
            </w:r>
          </w:p>
        </w:tc>
        <w:tc>
          <w:tcPr>
            <w:tcW w:w="172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4BDC70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Reads (Percentage)</w:t>
            </w:r>
          </w:p>
        </w:tc>
      </w:tr>
      <w:tr w:rsidR="001B7EE9" w14:paraId="060CB2E1"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E6173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14B77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D0774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18,087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77CA71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18,159</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4234EC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9253A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DA0175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AB5C9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103 (17%)</w:t>
            </w:r>
          </w:p>
        </w:tc>
      </w:tr>
      <w:tr w:rsidR="001B7EE9" w14:paraId="76B53515"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70BE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140B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B859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C48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D6FD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CU-AC</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8948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6B77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9217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97 (16%)</w:t>
            </w:r>
          </w:p>
        </w:tc>
      </w:tr>
      <w:tr w:rsidR="001B7EE9" w14:paraId="07D3A697"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C24D9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2716A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9C25F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7,531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69116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7,754</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CE723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0180B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B42EF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223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F7BB4C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58 (9.6%)</w:t>
            </w:r>
          </w:p>
        </w:tc>
      </w:tr>
      <w:tr w:rsidR="001B7EE9" w14:paraId="72C33FE6"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AB65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E60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2336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25,701</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B756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26,055</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3A89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71B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5BC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354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113D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37 (6.1%)</w:t>
            </w:r>
          </w:p>
        </w:tc>
      </w:tr>
      <w:tr w:rsidR="001B7EE9" w14:paraId="362CA5FA"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77531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BC636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3EB83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20,223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E2E069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20,419</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BFF5A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3FA18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D24385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192575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33 (5.5%)</w:t>
            </w:r>
          </w:p>
        </w:tc>
      </w:tr>
      <w:tr w:rsidR="001B7EE9" w14:paraId="205B18C1"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842B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4004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AAA0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4,360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EEB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7,454</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8AFD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E832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A43E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3,094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C2C4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32 (5.3%)</w:t>
            </w:r>
          </w:p>
        </w:tc>
      </w:tr>
      <w:tr w:rsidR="001B7EE9" w14:paraId="334F2613"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D154B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6ACD27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F12159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3D301D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20,668</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FA99F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F1015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CDC01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1,917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0504AB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 (3.6%)</w:t>
            </w:r>
          </w:p>
        </w:tc>
      </w:tr>
      <w:tr w:rsidR="001B7EE9" w14:paraId="415ACED0"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4675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D568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DAF3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6DA7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18,717</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7139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63E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D3DA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367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40ED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 (3.5%)</w:t>
            </w:r>
          </w:p>
        </w:tc>
      </w:tr>
      <w:tr w:rsidR="001B7EE9" w14:paraId="44862A46"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3BCD79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EA736B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FE9C35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18,768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5F7024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1EF6F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F5632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E8DD8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1,394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E8662B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 (3.5%)</w:t>
            </w:r>
          </w:p>
        </w:tc>
      </w:tr>
      <w:tr w:rsidR="001B7EE9" w14:paraId="0420E5F3"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9BD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6795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9E55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FC8D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13,610</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8CD9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368B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4953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5,803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E027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 (3%)</w:t>
            </w:r>
          </w:p>
        </w:tc>
      </w:tr>
      <w:tr w:rsidR="001B7EE9" w14:paraId="39F09ADB"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D224B8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7B8795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B14162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A3F48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E87E4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A41ACF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95F9B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1,812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98D35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 (3%)</w:t>
            </w:r>
          </w:p>
        </w:tc>
      </w:tr>
      <w:tr w:rsidR="001B7EE9" w14:paraId="22338A75"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18CC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2007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9C3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1719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F150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78F3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DA4E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C9BD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 (2.3%)</w:t>
            </w:r>
          </w:p>
        </w:tc>
      </w:tr>
      <w:tr w:rsidR="001B7EE9" w14:paraId="3E52DA38"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E536DF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1AD7C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86C0A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99E4B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21,682</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E7373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23DF57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DFE06A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2,931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552389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10 (1.7%)</w:t>
            </w:r>
          </w:p>
        </w:tc>
      </w:tr>
      <w:tr w:rsidR="001B7EE9" w14:paraId="08FCE97C"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A618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B261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1423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5BCC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1,616</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7E9B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1AD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60E9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1,312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97D6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9 (1.5%)</w:t>
            </w:r>
          </w:p>
        </w:tc>
      </w:tr>
      <w:tr w:rsidR="001B7EE9" w14:paraId="63763947"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95E05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5CC161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1792C5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1,655</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0A66B8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1,964</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78122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5D428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CDFF2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5C220E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9 (1.5%)</w:t>
            </w:r>
          </w:p>
        </w:tc>
      </w:tr>
      <w:tr w:rsidR="001B7EE9" w14:paraId="0AD26B64"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4B6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B7B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D1E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18,087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E7BE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18,163</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34A1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E4F0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A0D3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76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E83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8 (1.3%)</w:t>
            </w:r>
          </w:p>
        </w:tc>
      </w:tr>
      <w:tr w:rsidR="001B7EE9" w14:paraId="3981E032"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6E9F2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FDBEA5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2B8EEC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AD41D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12,238</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C32D5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AE6B5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57FC0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4,431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A6CC30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 (1.2%)</w:t>
            </w:r>
          </w:p>
        </w:tc>
      </w:tr>
      <w:tr w:rsidR="001B7EE9" w14:paraId="7BEC1360"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2A81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86B7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F11D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30A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22,492</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2944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FA1C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DAF9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14,685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660C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6 (1%)</w:t>
            </w:r>
          </w:p>
        </w:tc>
      </w:tr>
    </w:tbl>
    <w:p w14:paraId="2AB03C98" w14:textId="77777777" w:rsidR="001B7EE9" w:rsidRDefault="00000000">
      <w:r>
        <w:br w:type="page"/>
      </w:r>
    </w:p>
    <w:p w14:paraId="46114A4A" w14:textId="77777777" w:rsidR="001B7EE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2b: Most abundant splice junctions at 24h.p.i</w:t>
      </w:r>
    </w:p>
    <w:tbl>
      <w:tblPr>
        <w:tblW w:w="0" w:type="auto"/>
        <w:tblLayout w:type="fixed"/>
        <w:tblLook w:val="0420" w:firstRow="1" w:lastRow="0" w:firstColumn="0" w:lastColumn="0" w:noHBand="0" w:noVBand="1"/>
      </w:tblPr>
      <w:tblGrid>
        <w:gridCol w:w="1008"/>
        <w:gridCol w:w="1008"/>
        <w:gridCol w:w="1008"/>
        <w:gridCol w:w="1008"/>
        <w:gridCol w:w="1098"/>
        <w:gridCol w:w="918"/>
        <w:gridCol w:w="1008"/>
        <w:gridCol w:w="1728"/>
      </w:tblGrid>
      <w:tr w:rsidR="001B7EE9" w14:paraId="070497DF" w14:textId="77777777" w:rsidTr="00490200">
        <w:trPr>
          <w:cantSplit/>
          <w:tblHeader/>
        </w:trPr>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05BE62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Timepoint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098536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Strand</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EC3B6C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Start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54905B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End</w:t>
            </w:r>
          </w:p>
        </w:tc>
        <w:tc>
          <w:tcPr>
            <w:tcW w:w="109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D6DB6C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venir" w:eastAsia="Avenir" w:hAnsi="Avenir" w:cs="Avenir"/>
                <w:b/>
                <w:color w:val="000000"/>
                <w:sz w:val="16"/>
                <w:szCs w:val="16"/>
              </w:rPr>
              <w:t>Splice_Site</w:t>
            </w:r>
            <w:proofErr w:type="spellEnd"/>
          </w:p>
        </w:tc>
        <w:tc>
          <w:tcPr>
            <w:tcW w:w="91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509634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Region</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4319D9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Intron Length</w:t>
            </w:r>
          </w:p>
        </w:tc>
        <w:tc>
          <w:tcPr>
            <w:tcW w:w="172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E776FB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Reads (Percentage)</w:t>
            </w:r>
          </w:p>
        </w:tc>
      </w:tr>
      <w:tr w:rsidR="001B7EE9" w14:paraId="7ACC7047"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42ECD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8437F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62D17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18,087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90BD0C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18,159</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551B6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088E8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511B5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930FA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18,825 (16.4%)</w:t>
            </w:r>
          </w:p>
        </w:tc>
      </w:tr>
      <w:tr w:rsidR="001B7EE9" w14:paraId="57876B99"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C423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5EDF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6BB0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0D78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9186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CU-AC</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0B4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B879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E8B6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17,670 (15.4%)</w:t>
            </w:r>
          </w:p>
        </w:tc>
      </w:tr>
      <w:tr w:rsidR="001B7EE9" w14:paraId="110285FC"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37C3B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35C3C5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483AEE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7,531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DA667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7,754</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995E5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C5D0A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E3743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223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CEDFCA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12,319 (10.7%)</w:t>
            </w:r>
          </w:p>
        </w:tc>
      </w:tr>
      <w:tr w:rsidR="001B7EE9" w14:paraId="105CE92A"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DCE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A5BC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F6F1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20,223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3C4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20,419</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6BD9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5555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745D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E35A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10,583 (9.2%)</w:t>
            </w:r>
          </w:p>
        </w:tc>
      </w:tr>
      <w:tr w:rsidR="001B7EE9" w14:paraId="29B69B0A"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69AB2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BD7DF2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9952F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4,360</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104EC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7,454</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AB16F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9CC01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81512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3,094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A13EEA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7,128 (6.2%)</w:t>
            </w:r>
          </w:p>
        </w:tc>
      </w:tr>
      <w:tr w:rsidR="001B7EE9" w14:paraId="7CE654AC"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68E7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4888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A0D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7579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89B7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0187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8567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1,812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9F20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6,619 (5.8%)</w:t>
            </w:r>
          </w:p>
        </w:tc>
      </w:tr>
      <w:tr w:rsidR="001B7EE9" w14:paraId="41AC82D4"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4B46C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E79A6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D1B7E9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18,768</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D5506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C79C06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5D7127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EC8AB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1,394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936C3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5,207 (4.5%)</w:t>
            </w:r>
          </w:p>
        </w:tc>
      </w:tr>
      <w:tr w:rsidR="001B7EE9" w14:paraId="1E69761C"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E5F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A249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AE2A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7635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18,717</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BB02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1285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4CA7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367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95BF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3,930 (3.4%)</w:t>
            </w:r>
          </w:p>
        </w:tc>
      </w:tr>
      <w:tr w:rsidR="001B7EE9" w14:paraId="11A5BC58"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E4DB2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CB9205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1B99E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EEB1D8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20,668</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CD7FD1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150E4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3D2B3F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1,917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54E8DE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3,870 (3.4%)</w:t>
            </w:r>
          </w:p>
        </w:tc>
      </w:tr>
      <w:tr w:rsidR="001B7EE9" w14:paraId="24DDA660"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73A0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947D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649F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0656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13,610</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F87C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9735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B203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5,803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5DD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2,553 (2.2%)</w:t>
            </w:r>
          </w:p>
        </w:tc>
      </w:tr>
      <w:tr w:rsidR="001B7EE9" w14:paraId="6452BE7C"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44887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34240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5728D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7C6832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12,238</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A2D1E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5B572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2A0FA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4,431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9A89B1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2,446 (2.1%)</w:t>
            </w:r>
          </w:p>
        </w:tc>
      </w:tr>
      <w:tr w:rsidR="001B7EE9" w14:paraId="62A51702"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281E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F23A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E31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25F5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22,492</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F733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458E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27D4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14,685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D59A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1,642 (1.4%)</w:t>
            </w:r>
          </w:p>
        </w:tc>
      </w:tr>
      <w:tr w:rsidR="001B7EE9" w14:paraId="4E328FA9"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270A28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18307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907549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1,655</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45E4A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1,964</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961976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FFB631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A14C35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97C37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1,395 (1.2%)</w:t>
            </w:r>
          </w:p>
        </w:tc>
      </w:tr>
      <w:tr w:rsidR="001B7EE9" w14:paraId="34ED9E1E"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E21B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0ECE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C6DC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D00D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18,717</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5971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116A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FF13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10,910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4D8C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1,391 (1.2%)</w:t>
            </w:r>
          </w:p>
        </w:tc>
      </w:tr>
      <w:tr w:rsidR="001B7EE9" w14:paraId="02D5A7C5"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D7AB7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EDA771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E16C68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ACA976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20634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A8E62F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378012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DD0804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1,124 (1%)</w:t>
            </w:r>
          </w:p>
        </w:tc>
      </w:tr>
      <w:tr w:rsidR="001B7EE9" w14:paraId="649A7360"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1D5B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1445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8CE6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E96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21,128</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035A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6A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9261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2,377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7F4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1,124 (1%)</w:t>
            </w:r>
          </w:p>
        </w:tc>
      </w:tr>
      <w:tr w:rsidR="001B7EE9" w14:paraId="74DE84B4"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44906A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24hpi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090701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029B44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20,223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AF67E1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20,894</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D4FC77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A4FAC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355B2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671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F64C6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1,208 (1%)</w:t>
            </w:r>
          </w:p>
        </w:tc>
      </w:tr>
    </w:tbl>
    <w:p w14:paraId="1795D372" w14:textId="77777777" w:rsidR="001B7EE9" w:rsidRDefault="00000000">
      <w:r>
        <w:br w:type="page"/>
      </w:r>
    </w:p>
    <w:p w14:paraId="69DD7F06" w14:textId="77777777" w:rsidR="001B7EE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lastRenderedPageBreak/>
        <w:t>Table 2c: Most abundant splice junctions at 72h.p.i</w:t>
      </w:r>
    </w:p>
    <w:tbl>
      <w:tblPr>
        <w:tblW w:w="0" w:type="auto"/>
        <w:tblLayout w:type="fixed"/>
        <w:tblLook w:val="0420" w:firstRow="1" w:lastRow="0" w:firstColumn="0" w:lastColumn="0" w:noHBand="0" w:noVBand="1"/>
      </w:tblPr>
      <w:tblGrid>
        <w:gridCol w:w="1008"/>
        <w:gridCol w:w="1008"/>
        <w:gridCol w:w="1008"/>
        <w:gridCol w:w="1008"/>
        <w:gridCol w:w="1098"/>
        <w:gridCol w:w="918"/>
        <w:gridCol w:w="1008"/>
        <w:gridCol w:w="1728"/>
      </w:tblGrid>
      <w:tr w:rsidR="001B7EE9" w14:paraId="1DFD6F32" w14:textId="77777777" w:rsidTr="00490200">
        <w:trPr>
          <w:cantSplit/>
          <w:tblHeader/>
        </w:trPr>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15EF56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Timepoint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2F848C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Strand</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A0DD41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Start</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F8E343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End</w:t>
            </w:r>
          </w:p>
        </w:tc>
        <w:tc>
          <w:tcPr>
            <w:tcW w:w="109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D77301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venir" w:eastAsia="Avenir" w:hAnsi="Avenir" w:cs="Avenir"/>
                <w:b/>
                <w:color w:val="000000"/>
                <w:sz w:val="16"/>
                <w:szCs w:val="16"/>
              </w:rPr>
              <w:t>Splice_Site</w:t>
            </w:r>
            <w:proofErr w:type="spellEnd"/>
          </w:p>
        </w:tc>
        <w:tc>
          <w:tcPr>
            <w:tcW w:w="91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07C24E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Region</w:t>
            </w:r>
          </w:p>
        </w:tc>
        <w:tc>
          <w:tcPr>
            <w:tcW w:w="100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5A100F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Intron Length</w:t>
            </w:r>
          </w:p>
        </w:tc>
        <w:tc>
          <w:tcPr>
            <w:tcW w:w="1728"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CAE18E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b/>
                <w:color w:val="000000"/>
                <w:sz w:val="16"/>
                <w:szCs w:val="16"/>
              </w:rPr>
              <w:t>Reads (Percentage)</w:t>
            </w:r>
          </w:p>
        </w:tc>
      </w:tr>
      <w:tr w:rsidR="001B7EE9" w14:paraId="53DA1899"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9F838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853B3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3C914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7,531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9E3FC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7,754</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00F60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EC453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828F9F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223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09890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322,677 (15.1%)</w:t>
            </w:r>
          </w:p>
        </w:tc>
      </w:tr>
      <w:tr w:rsidR="001B7EE9" w14:paraId="47627C33"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E7D9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6270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3674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4,360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93D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7,454</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A990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CF63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F361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3,094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ABF1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179,607 (8.4%)</w:t>
            </w:r>
          </w:p>
        </w:tc>
      </w:tr>
      <w:tr w:rsidR="001B7EE9" w14:paraId="5495E4D0"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843810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B8B9F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9C3E25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18,087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ACF361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18,159</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A5AEE5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756AB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C8C181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58619B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161,336 (7.6%)</w:t>
            </w:r>
          </w:p>
        </w:tc>
      </w:tr>
      <w:tr w:rsidR="001B7EE9" w14:paraId="5DCD4817"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7DD2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BCFA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8F84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18,189</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9CC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18,684</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F4D3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CU-AC</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2EEA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B7B0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495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920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146,425 (6.9%)</w:t>
            </w:r>
          </w:p>
        </w:tc>
      </w:tr>
      <w:tr w:rsidR="001B7EE9" w14:paraId="3015D68E"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75393D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C5A7D4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843FF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20,223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97C62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20,419</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B994F3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38189D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B90C2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7B310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93,238 (4.4%)</w:t>
            </w:r>
          </w:p>
        </w:tc>
      </w:tr>
      <w:tr w:rsidR="001B7EE9" w14:paraId="5C8CD257"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4D1B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E21F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8C07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C6BA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13,610</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99D3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E4E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7778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5,803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0D7A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81,420 (3.8%)</w:t>
            </w:r>
          </w:p>
        </w:tc>
      </w:tr>
      <w:tr w:rsidR="001B7EE9" w14:paraId="46248A1C"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6E3CC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D1F859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D5430F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E7686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12,238</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9CBD6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91B535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5A0F0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4,431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00074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77,616 (3.6%)</w:t>
            </w:r>
          </w:p>
        </w:tc>
      </w:tr>
      <w:tr w:rsidR="001B7EE9" w14:paraId="4176346B"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3210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7B12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3552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18,768</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65D8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E21B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11D8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5F9F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1,394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253D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45,062 (2.1%)</w:t>
            </w:r>
          </w:p>
        </w:tc>
      </w:tr>
      <w:tr w:rsidR="001B7EE9" w14:paraId="70BAA1D6"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C5CF4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5ACB70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DF717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1,655</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B46044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1,964</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81EAB5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A05ED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262E1A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309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76A59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38,491 (1.8%)</w:t>
            </w:r>
          </w:p>
        </w:tc>
      </w:tr>
      <w:tr w:rsidR="001B7EE9" w14:paraId="2EAFD1D6"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F79B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303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63D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16CF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20,162</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4AD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D0C8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6322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1,812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F6C0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38,841 (1.8%)</w:t>
            </w:r>
          </w:p>
        </w:tc>
      </w:tr>
      <w:tr w:rsidR="001B7EE9" w14:paraId="138FFBAB"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A11C64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F13D5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FCBAD8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18,350</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CD6D0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18,717</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ADCCD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BD1DD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E3</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2EF8F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367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12854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35,490 (1.7%)</w:t>
            </w:r>
          </w:p>
        </w:tc>
      </w:tr>
      <w:tr w:rsidR="001B7EE9" w14:paraId="397F7380"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80C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7FC5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91EA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304</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8CBB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1,616</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C4BC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2F2E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E1</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D157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1,312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DE4C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25,041 (1.2%)</w:t>
            </w:r>
          </w:p>
        </w:tc>
      </w:tr>
      <w:tr w:rsidR="001B7EE9" w14:paraId="7E9F5D7B"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7EC5F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F7DBE7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FFDED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18,751</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1516F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20,668</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1E6C9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239213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E2</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BD246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1,917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72B992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26,338 (1.2%)</w:t>
            </w:r>
          </w:p>
        </w:tc>
      </w:tr>
      <w:tr w:rsidR="001B7EE9" w14:paraId="5A36CF46"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2429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1DEA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2B7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B780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12,904</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891C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DC5C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9438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5,097 bp</w:t>
            </w:r>
          </w:p>
        </w:tc>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F680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21,946 (1%)</w:t>
            </w:r>
          </w:p>
        </w:tc>
      </w:tr>
      <w:tr w:rsidR="001B7EE9" w14:paraId="49FD4F3B" w14:textId="77777777" w:rsidTr="00490200">
        <w:trPr>
          <w:cantSplit/>
        </w:trPr>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BA9E8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72hpi</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95F67D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C1EBC8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7,807</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2336DB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22,492</w:t>
            </w:r>
          </w:p>
        </w:tc>
        <w:tc>
          <w:tcPr>
            <w:tcW w:w="109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0419A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GU-AG</w:t>
            </w:r>
          </w:p>
        </w:tc>
        <w:tc>
          <w:tcPr>
            <w:tcW w:w="91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A5933A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MLP</w:t>
            </w:r>
          </w:p>
        </w:tc>
        <w:tc>
          <w:tcPr>
            <w:tcW w:w="100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1E42B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14,685 bp</w:t>
            </w:r>
          </w:p>
        </w:tc>
        <w:tc>
          <w:tcPr>
            <w:tcW w:w="1728"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F131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venir" w:eastAsia="Avenir" w:hAnsi="Avenir" w:cs="Avenir"/>
                <w:color w:val="000000"/>
                <w:sz w:val="16"/>
                <w:szCs w:val="16"/>
              </w:rPr>
              <w:t>21,891 (1%)</w:t>
            </w:r>
          </w:p>
        </w:tc>
      </w:tr>
    </w:tbl>
    <w:p w14:paraId="15D578BB" w14:textId="77777777" w:rsidR="001B7EE9" w:rsidRDefault="00000000">
      <w:r>
        <w:br w:type="page"/>
      </w:r>
    </w:p>
    <w:p w14:paraId="39855FCC" w14:textId="77777777" w:rsidR="001B7EE9" w:rsidRDefault="00000000">
      <w:pPr>
        <w:pStyle w:val="Heading2"/>
      </w:pPr>
      <w:bookmarkStart w:id="49" w:name="supplementary-materials"/>
      <w:bookmarkEnd w:id="48"/>
      <w:r>
        <w:lastRenderedPageBreak/>
        <w:t>SUPPLEMENTARY MATERIALS</w:t>
      </w:r>
    </w:p>
    <w:p w14:paraId="4CB8E1FC" w14:textId="77777777" w:rsidR="001B7EE9" w:rsidRDefault="00000000">
      <w:pPr>
        <w:pStyle w:val="FirstParagraph"/>
      </w:pPr>
      <w:r>
        <w:rPr>
          <w:b/>
          <w:bCs/>
        </w:rPr>
        <w:t>Supplementary Table S1A</w:t>
      </w:r>
    </w:p>
    <w:p w14:paraId="6BC26852" w14:textId="77777777" w:rsidR="001B7EE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Table S1a: Most Transcriptionally Active Regions of THEV at 12h.p.i</w:t>
      </w:r>
    </w:p>
    <w:tbl>
      <w:tblPr>
        <w:tblW w:w="0" w:type="auto"/>
        <w:tblLayout w:type="fixed"/>
        <w:tblLook w:val="0420" w:firstRow="1" w:lastRow="0" w:firstColumn="0" w:lastColumn="0" w:noHBand="0" w:noVBand="1"/>
      </w:tblPr>
      <w:tblGrid>
        <w:gridCol w:w="1152"/>
        <w:gridCol w:w="1152"/>
        <w:gridCol w:w="1152"/>
        <w:gridCol w:w="1152"/>
        <w:gridCol w:w="1242"/>
      </w:tblGrid>
      <w:tr w:rsidR="001B7EE9" w14:paraId="61C0E8A4" w14:textId="77777777" w:rsidTr="00490200">
        <w:trPr>
          <w:cantSplit/>
          <w:tblHeader/>
        </w:trPr>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C29019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C2E8B4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Region</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0A19D3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Strand</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31A692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Total Reads</w:t>
            </w:r>
          </w:p>
        </w:tc>
        <w:tc>
          <w:tcPr>
            <w:tcW w:w="124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740F34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Percentage</w:t>
            </w:r>
          </w:p>
        </w:tc>
      </w:tr>
      <w:tr w:rsidR="001B7EE9" w14:paraId="51B3F686"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A9C83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C731B1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MLP</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6E2CF7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63D019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235</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D72A1C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38.8%</w:t>
            </w:r>
          </w:p>
        </w:tc>
      </w:tr>
      <w:tr w:rsidR="001B7EE9" w14:paraId="1FCCBA4D"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5603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959F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D9B8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5156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161</w:t>
            </w:r>
          </w:p>
        </w:tc>
        <w:tc>
          <w:tcPr>
            <w:tcW w:w="12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2546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26.6%</w:t>
            </w:r>
          </w:p>
        </w:tc>
      </w:tr>
      <w:tr w:rsidR="001B7EE9" w14:paraId="33AA1660"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C13EF5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D2C95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8838A9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68974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104</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C8133B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17.2%</w:t>
            </w:r>
          </w:p>
        </w:tc>
      </w:tr>
      <w:tr w:rsidR="001B7EE9" w14:paraId="75DC8BD9"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9365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797A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E4</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1C3E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52D6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40</w:t>
            </w:r>
          </w:p>
        </w:tc>
        <w:tc>
          <w:tcPr>
            <w:tcW w:w="12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C13B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6.6%</w:t>
            </w:r>
          </w:p>
        </w:tc>
      </w:tr>
      <w:tr w:rsidR="001B7EE9" w14:paraId="254C3FDB"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8EDEB2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A63555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Unassigned</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FCDD57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6829DB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40</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BE9D99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6.6%</w:t>
            </w:r>
          </w:p>
        </w:tc>
      </w:tr>
      <w:tr w:rsidR="001B7EE9" w14:paraId="19D39077"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A868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7DE4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83A8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AE2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20</w:t>
            </w:r>
          </w:p>
        </w:tc>
        <w:tc>
          <w:tcPr>
            <w:tcW w:w="12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BAE1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3.3%</w:t>
            </w:r>
          </w:p>
        </w:tc>
      </w:tr>
      <w:tr w:rsidR="001B7EE9" w14:paraId="6883CC41"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59D75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5A7ABC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IM</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C74E1F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0D3B7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AFE8D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0.8%</w:t>
            </w:r>
          </w:p>
        </w:tc>
      </w:tr>
    </w:tbl>
    <w:p w14:paraId="095453EF" w14:textId="77777777" w:rsidR="00490200" w:rsidRDefault="00490200">
      <w:pPr>
        <w:pStyle w:val="BodyText"/>
        <w:rPr>
          <w:b/>
          <w:bCs/>
        </w:rPr>
      </w:pPr>
    </w:p>
    <w:p w14:paraId="233FBF25" w14:textId="5BAFFB9B" w:rsidR="001B7EE9" w:rsidRDefault="00000000">
      <w:pPr>
        <w:pStyle w:val="BodyText"/>
      </w:pPr>
      <w:r>
        <w:rPr>
          <w:b/>
          <w:bCs/>
        </w:rPr>
        <w:t>Supplementary Table S1B</w:t>
      </w:r>
    </w:p>
    <w:p w14:paraId="5F94A6A3" w14:textId="77777777" w:rsidR="001B7EE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Table S1b: Most Transcriptionally Active Regions of THEV at 24h.p.i</w:t>
      </w:r>
    </w:p>
    <w:tbl>
      <w:tblPr>
        <w:tblW w:w="0" w:type="auto"/>
        <w:tblLayout w:type="fixed"/>
        <w:tblLook w:val="0420" w:firstRow="1" w:lastRow="0" w:firstColumn="0" w:lastColumn="0" w:noHBand="0" w:noVBand="1"/>
      </w:tblPr>
      <w:tblGrid>
        <w:gridCol w:w="1152"/>
        <w:gridCol w:w="1152"/>
        <w:gridCol w:w="1152"/>
        <w:gridCol w:w="1152"/>
        <w:gridCol w:w="1242"/>
      </w:tblGrid>
      <w:tr w:rsidR="001B7EE9" w14:paraId="721811EC" w14:textId="77777777" w:rsidTr="00490200">
        <w:trPr>
          <w:cantSplit/>
          <w:tblHeader/>
        </w:trPr>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4C99DE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5BB3C8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Region</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B0CB9F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Strand</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52470CC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Total Reads</w:t>
            </w:r>
          </w:p>
        </w:tc>
        <w:tc>
          <w:tcPr>
            <w:tcW w:w="124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AC2E6A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Percentage</w:t>
            </w:r>
          </w:p>
        </w:tc>
      </w:tr>
      <w:tr w:rsidR="001B7EE9" w14:paraId="79DA5B2D"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7488D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1B26E8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MLP</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481E3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BD168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52,589</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3150E8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45.7%</w:t>
            </w:r>
          </w:p>
        </w:tc>
      </w:tr>
      <w:tr w:rsidR="001B7EE9" w14:paraId="47CB2C2A"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D84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D796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E3</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72FF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345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29,209</w:t>
            </w:r>
          </w:p>
        </w:tc>
        <w:tc>
          <w:tcPr>
            <w:tcW w:w="12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0279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25.4%</w:t>
            </w:r>
          </w:p>
        </w:tc>
      </w:tr>
      <w:tr w:rsidR="001B7EE9" w14:paraId="7E400243"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86A181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2B9D4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E2</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3D5BA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F0D0D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27,833</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884EB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24.2%</w:t>
            </w:r>
          </w:p>
        </w:tc>
      </w:tr>
      <w:tr w:rsidR="001B7EE9" w14:paraId="616B192B"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3D16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440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822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CD6F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2,724</w:t>
            </w:r>
          </w:p>
        </w:tc>
        <w:tc>
          <w:tcPr>
            <w:tcW w:w="12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F1EB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w:t>
            </w:r>
          </w:p>
        </w:tc>
      </w:tr>
      <w:tr w:rsidR="001B7EE9" w14:paraId="1506A47F"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B15EA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8963A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Unassigned</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C07A2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1AC90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1,312</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9F582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1.1%</w:t>
            </w:r>
          </w:p>
        </w:tc>
      </w:tr>
      <w:tr w:rsidR="001B7EE9" w14:paraId="70CED08D"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1501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94AE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IM</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C737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752F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744</w:t>
            </w:r>
          </w:p>
        </w:tc>
        <w:tc>
          <w:tcPr>
            <w:tcW w:w="12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6650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0.6%</w:t>
            </w:r>
          </w:p>
        </w:tc>
      </w:tr>
      <w:tr w:rsidR="001B7EE9" w14:paraId="2662FE0A"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923999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24hpi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5C85D7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2B6AB1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CEA42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664</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67BCC8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0.6%</w:t>
            </w:r>
          </w:p>
        </w:tc>
      </w:tr>
    </w:tbl>
    <w:p w14:paraId="37EFC336" w14:textId="77777777" w:rsidR="00490200" w:rsidRDefault="00490200">
      <w:pPr>
        <w:pStyle w:val="BodyText"/>
        <w:rPr>
          <w:b/>
          <w:bCs/>
        </w:rPr>
      </w:pPr>
    </w:p>
    <w:p w14:paraId="4E3F515F" w14:textId="77777777" w:rsidR="00490200" w:rsidRDefault="00490200">
      <w:pPr>
        <w:pStyle w:val="BodyText"/>
        <w:rPr>
          <w:b/>
          <w:bCs/>
        </w:rPr>
      </w:pPr>
    </w:p>
    <w:p w14:paraId="14B277C2" w14:textId="77777777" w:rsidR="00490200" w:rsidRDefault="00490200">
      <w:pPr>
        <w:pStyle w:val="BodyText"/>
        <w:rPr>
          <w:b/>
          <w:bCs/>
        </w:rPr>
      </w:pPr>
    </w:p>
    <w:p w14:paraId="3BE8E9B8" w14:textId="77777777" w:rsidR="00490200" w:rsidRDefault="00490200">
      <w:pPr>
        <w:pStyle w:val="BodyText"/>
        <w:rPr>
          <w:b/>
          <w:bCs/>
        </w:rPr>
      </w:pPr>
    </w:p>
    <w:p w14:paraId="3EB87DAE" w14:textId="73D02F46" w:rsidR="001B7EE9" w:rsidRDefault="00000000">
      <w:pPr>
        <w:pStyle w:val="BodyText"/>
      </w:pPr>
      <w:r>
        <w:rPr>
          <w:b/>
          <w:bCs/>
        </w:rPr>
        <w:lastRenderedPageBreak/>
        <w:t>Supplementary Table S1C</w:t>
      </w:r>
    </w:p>
    <w:p w14:paraId="46BA50F4" w14:textId="77777777" w:rsidR="001B7EE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Table S1c: Most Transcriptionally Active Regions of THEV at 72h.p.i</w:t>
      </w:r>
    </w:p>
    <w:tbl>
      <w:tblPr>
        <w:tblW w:w="0" w:type="auto"/>
        <w:tblLayout w:type="fixed"/>
        <w:tblLook w:val="0420" w:firstRow="1" w:lastRow="0" w:firstColumn="0" w:lastColumn="0" w:noHBand="0" w:noVBand="1"/>
      </w:tblPr>
      <w:tblGrid>
        <w:gridCol w:w="1152"/>
        <w:gridCol w:w="1152"/>
        <w:gridCol w:w="1152"/>
        <w:gridCol w:w="1152"/>
        <w:gridCol w:w="1242"/>
      </w:tblGrid>
      <w:tr w:rsidR="001B7EE9" w14:paraId="5C7A4537" w14:textId="77777777" w:rsidTr="00490200">
        <w:trPr>
          <w:cantSplit/>
          <w:tblHeader/>
        </w:trPr>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4C08B3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Time</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9A8958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Region</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37CC42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Strand</w:t>
            </w:r>
          </w:p>
        </w:tc>
        <w:tc>
          <w:tcPr>
            <w:tcW w:w="115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47D751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Total Reads</w:t>
            </w:r>
          </w:p>
        </w:tc>
        <w:tc>
          <w:tcPr>
            <w:tcW w:w="124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C01CF4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16"/>
                <w:szCs w:val="16"/>
              </w:rPr>
              <w:t>Percentage</w:t>
            </w:r>
          </w:p>
        </w:tc>
      </w:tr>
      <w:tr w:rsidR="001B7EE9" w14:paraId="4368A41E"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BE281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F14134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MLP</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3380D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2E2F5C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1,437,273</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FA966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67.4%</w:t>
            </w:r>
          </w:p>
        </w:tc>
      </w:tr>
      <w:tr w:rsidR="001B7EE9" w14:paraId="55DC5187"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F4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5334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E2</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CBD3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427C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304,274</w:t>
            </w:r>
          </w:p>
        </w:tc>
        <w:tc>
          <w:tcPr>
            <w:tcW w:w="12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6984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14.3%</w:t>
            </w:r>
          </w:p>
        </w:tc>
      </w:tr>
      <w:tr w:rsidR="001B7EE9" w14:paraId="37A301B8"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03086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9D252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E3</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A6C8E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474DF5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271,392</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A9D02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12.7%</w:t>
            </w:r>
          </w:p>
        </w:tc>
      </w:tr>
      <w:tr w:rsidR="001B7EE9" w14:paraId="1FE415EB"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C75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DF44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E1</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047A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A2DB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74,135</w:t>
            </w:r>
          </w:p>
        </w:tc>
        <w:tc>
          <w:tcPr>
            <w:tcW w:w="12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94B2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3.5%</w:t>
            </w:r>
          </w:p>
        </w:tc>
      </w:tr>
      <w:tr w:rsidR="001B7EE9" w14:paraId="126DB0B8"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C29A5A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4C3A90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Unassigned</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137D9A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A5449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27,680</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D4530C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1.3%</w:t>
            </w:r>
          </w:p>
        </w:tc>
      </w:tr>
      <w:tr w:rsidR="001B7EE9" w14:paraId="3ABCD9DB"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1359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0FAC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IM</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09A5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E392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14,484</w:t>
            </w:r>
          </w:p>
        </w:tc>
        <w:tc>
          <w:tcPr>
            <w:tcW w:w="12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43BF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0.7%</w:t>
            </w:r>
          </w:p>
        </w:tc>
      </w:tr>
      <w:tr w:rsidR="001B7EE9" w14:paraId="4146F608" w14:textId="77777777" w:rsidTr="00490200">
        <w:trPr>
          <w:cantSplit/>
        </w:trPr>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FE74B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72hpi</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1D02EE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E4</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A4240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w:t>
            </w:r>
          </w:p>
        </w:tc>
        <w:tc>
          <w:tcPr>
            <w:tcW w:w="115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6068DF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3,568</w:t>
            </w:r>
          </w:p>
        </w:tc>
        <w:tc>
          <w:tcPr>
            <w:tcW w:w="124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80EE6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16"/>
                <w:szCs w:val="16"/>
              </w:rPr>
              <w:t>0.2%</w:t>
            </w:r>
          </w:p>
        </w:tc>
      </w:tr>
    </w:tbl>
    <w:p w14:paraId="5A595A1C" w14:textId="77777777" w:rsidR="001B7EE9" w:rsidRDefault="00000000">
      <w:r>
        <w:br w:type="page"/>
      </w:r>
    </w:p>
    <w:p w14:paraId="30E2CFC5" w14:textId="77777777" w:rsidR="001B7EE9" w:rsidRDefault="00000000">
      <w:pPr>
        <w:pStyle w:val="BodyText"/>
      </w:pPr>
      <w:r>
        <w:rPr>
          <w:b/>
          <w:bCs/>
        </w:rPr>
        <w:lastRenderedPageBreak/>
        <w:t>Supplementary PCR Methods</w:t>
      </w:r>
    </w:p>
    <w:p w14:paraId="08498C1D" w14:textId="77777777" w:rsidR="001B7EE9"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pPr>
      <w:r>
        <w:t>Agarose Gels Showing PCR Amplification of THEV cDNA With Gene-Specific Primers</w:t>
      </w:r>
    </w:p>
    <w:tbl>
      <w:tblPr>
        <w:tblW w:w="11358" w:type="dxa"/>
        <w:tblInd w:w="-990" w:type="dxa"/>
        <w:tblLayout w:type="fixed"/>
        <w:tblLook w:val="0420" w:firstRow="1" w:lastRow="0" w:firstColumn="0" w:lastColumn="0" w:noHBand="0" w:noVBand="1"/>
      </w:tblPr>
      <w:tblGrid>
        <w:gridCol w:w="720"/>
        <w:gridCol w:w="540"/>
        <w:gridCol w:w="540"/>
        <w:gridCol w:w="720"/>
        <w:gridCol w:w="540"/>
        <w:gridCol w:w="540"/>
        <w:gridCol w:w="540"/>
        <w:gridCol w:w="540"/>
        <w:gridCol w:w="540"/>
        <w:gridCol w:w="540"/>
        <w:gridCol w:w="540"/>
        <w:gridCol w:w="1710"/>
        <w:gridCol w:w="1692"/>
        <w:gridCol w:w="1656"/>
      </w:tblGrid>
      <w:tr w:rsidR="00490200" w14:paraId="6B56D0CE" w14:textId="77777777" w:rsidTr="00490200">
        <w:trPr>
          <w:cantSplit/>
          <w:tblHeader/>
        </w:trPr>
        <w:tc>
          <w:tcPr>
            <w:tcW w:w="72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890FC5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Transcript ID</w:t>
            </w:r>
          </w:p>
        </w:tc>
        <w:tc>
          <w:tcPr>
            <w:tcW w:w="54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D2C89B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Region</w:t>
            </w:r>
          </w:p>
        </w:tc>
        <w:tc>
          <w:tcPr>
            <w:tcW w:w="54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70AC069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Number of Exons</w:t>
            </w:r>
          </w:p>
        </w:tc>
        <w:tc>
          <w:tcPr>
            <w:tcW w:w="72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1286029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Full Transcript</w:t>
            </w:r>
          </w:p>
        </w:tc>
        <w:tc>
          <w:tcPr>
            <w:tcW w:w="54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A1EEB3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1</w:t>
            </w:r>
          </w:p>
        </w:tc>
        <w:tc>
          <w:tcPr>
            <w:tcW w:w="54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F32A74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2</w:t>
            </w:r>
          </w:p>
        </w:tc>
        <w:tc>
          <w:tcPr>
            <w:tcW w:w="54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548F44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3</w:t>
            </w:r>
          </w:p>
        </w:tc>
        <w:tc>
          <w:tcPr>
            <w:tcW w:w="54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3AD0810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4</w:t>
            </w:r>
          </w:p>
        </w:tc>
        <w:tc>
          <w:tcPr>
            <w:tcW w:w="54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6BF250E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5</w:t>
            </w:r>
          </w:p>
        </w:tc>
        <w:tc>
          <w:tcPr>
            <w:tcW w:w="54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A161DE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6</w:t>
            </w:r>
          </w:p>
        </w:tc>
        <w:tc>
          <w:tcPr>
            <w:tcW w:w="54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4D8545E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Exon 7</w:t>
            </w:r>
          </w:p>
        </w:tc>
        <w:tc>
          <w:tcPr>
            <w:tcW w:w="1710"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0CD6E6B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Forward Primer</w:t>
            </w:r>
          </w:p>
        </w:tc>
        <w:tc>
          <w:tcPr>
            <w:tcW w:w="1692"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B5CC3E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Reverse Primer</w:t>
            </w:r>
          </w:p>
        </w:tc>
        <w:tc>
          <w:tcPr>
            <w:tcW w:w="1656" w:type="dxa"/>
            <w:tcBorders>
              <w:top w:val="none" w:sz="0" w:space="0" w:color="000000"/>
              <w:left w:val="none" w:sz="0" w:space="0" w:color="000000"/>
              <w:bottom w:val="none" w:sz="0" w:space="0" w:color="000000"/>
              <w:right w:val="none" w:sz="0" w:space="0" w:color="000000"/>
            </w:tcBorders>
            <w:shd w:val="clear" w:color="auto" w:fill="CFCFCF"/>
            <w:tcMar>
              <w:top w:w="0" w:type="dxa"/>
              <w:left w:w="0" w:type="dxa"/>
              <w:bottom w:w="0" w:type="dxa"/>
              <w:right w:w="0" w:type="dxa"/>
            </w:tcMar>
            <w:vAlign w:val="center"/>
          </w:tcPr>
          <w:p w14:paraId="20D375B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b/>
                <w:color w:val="000000"/>
                <w:sz w:val="7"/>
                <w:szCs w:val="7"/>
              </w:rPr>
              <w:t>Agarose Gel</w:t>
            </w:r>
          </w:p>
        </w:tc>
      </w:tr>
      <w:tr w:rsidR="00490200" w14:paraId="5971820D"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954FF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28B9F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73752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3</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863128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54-2325</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BCA439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54-304</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990F34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1616-1655</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D2577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1964-2325</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734F0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AAC43C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DB0B03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63F02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B02379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CCCggtaccTTCTGTTTGAATTGTGGGCGG</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F1C0AC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CCCtctagaCGTCCAGTAGTCAGGAATTCTAGTG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D73DF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B2C1076" wp14:editId="44805509">
                  <wp:extent cx="100584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53"/>
                          <a:srcRect/>
                          <a:stretch>
                            <a:fillRect/>
                          </a:stretch>
                        </pic:blipFill>
                        <pic:spPr bwMode="auto">
                          <a:xfrm>
                            <a:off x="0" y="0"/>
                            <a:ext cx="13970" cy="12700"/>
                          </a:xfrm>
                          <a:prstGeom prst="rect">
                            <a:avLst/>
                          </a:prstGeom>
                          <a:noFill/>
                        </pic:spPr>
                      </pic:pic>
                    </a:graphicData>
                  </a:graphic>
                </wp:inline>
              </w:drawing>
            </w:r>
          </w:p>
        </w:tc>
      </w:tr>
      <w:tr w:rsidR="00490200" w14:paraId="1AC0E6CD"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70B9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42B5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EBAA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CB9D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54-2325</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361E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54-1655</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E9B4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1964-2325</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6CE0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AABF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499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839C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CDD1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B58C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CCCggtaccGAGGCCTGTTGGAATTGTTGC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DF4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CCCtctagaCGTCCAGTAGTCAGGAATTCTAGTG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B31C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0A4B0FC4" wp14:editId="7CA88F57">
                  <wp:extent cx="100584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54"/>
                          <a:srcRect/>
                          <a:stretch>
                            <a:fillRect/>
                          </a:stretch>
                        </pic:blipFill>
                        <pic:spPr bwMode="auto">
                          <a:xfrm>
                            <a:off x="0" y="0"/>
                            <a:ext cx="13970" cy="12700"/>
                          </a:xfrm>
                          <a:prstGeom prst="rect">
                            <a:avLst/>
                          </a:prstGeom>
                          <a:noFill/>
                        </pic:spPr>
                      </pic:pic>
                    </a:graphicData>
                  </a:graphic>
                </wp:inline>
              </w:drawing>
            </w:r>
          </w:p>
        </w:tc>
      </w:tr>
      <w:tr w:rsidR="00490200" w14:paraId="17F73269"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562FB9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TRXPT_3</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15AEE1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6D4D4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439D9E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225-2325</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68851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225-304</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6C5F8C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1964-2325</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3E6B49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AA5F0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70C00B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283FAF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C3ECBA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0170F1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CCCggtacCATTTCCCGTACACGGTGTTG</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FABE91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CCCtctagaCGTCCAGTAGTCAGGAATTCTAGTG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11AB0A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69900533" wp14:editId="55245476">
                  <wp:extent cx="1005840" cy="91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55"/>
                          <a:srcRect/>
                          <a:stretch>
                            <a:fillRect/>
                          </a:stretch>
                        </pic:blipFill>
                        <pic:spPr bwMode="auto">
                          <a:xfrm>
                            <a:off x="0" y="0"/>
                            <a:ext cx="13970" cy="12700"/>
                          </a:xfrm>
                          <a:prstGeom prst="rect">
                            <a:avLst/>
                          </a:prstGeom>
                          <a:noFill/>
                        </pic:spPr>
                      </pic:pic>
                    </a:graphicData>
                  </a:graphic>
                </wp:inline>
              </w:drawing>
            </w:r>
          </w:p>
        </w:tc>
      </w:tr>
      <w:tr w:rsidR="00490200" w14:paraId="2C7DB988"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5ADC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TRXPT_4</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77A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2D24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C5B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271-2303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CCF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271-304</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7884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1616-2303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5115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7443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0FDB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272E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EF9D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257A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CCCggtaccGTCATCACAACTGACCTTGTCGTC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CF1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CCCtctagaCGTCCAGTAGTCAGGAATTCTAGTG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DC57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Not Validated</w:t>
            </w:r>
          </w:p>
        </w:tc>
      </w:tr>
      <w:tr w:rsidR="00490200" w14:paraId="1F2203C6"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43529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TRXPT_15</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7C3A5C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7BB64A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B10948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6206-6878</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61F250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6206-6551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3DBA46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6843-6878</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3DF13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F5C560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45D0C1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A63F2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4D2733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9BFFD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CCCggtacCCTTTAAAATCAAGCCTATTGGTCTTGTAAC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3B1DD2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CCCtctagaGTGTCATTGTCTACGCTGTTGTAGTAG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7DEE0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6DC91206" wp14:editId="55C5643E">
                  <wp:extent cx="100584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56"/>
                          <a:srcRect/>
                          <a:stretch>
                            <a:fillRect/>
                          </a:stretch>
                        </pic:blipFill>
                        <pic:spPr bwMode="auto">
                          <a:xfrm>
                            <a:off x="0" y="0"/>
                            <a:ext cx="13970" cy="12700"/>
                          </a:xfrm>
                          <a:prstGeom prst="rect">
                            <a:avLst/>
                          </a:prstGeom>
                          <a:noFill/>
                        </pic:spPr>
                      </pic:pic>
                    </a:graphicData>
                  </a:graphic>
                </wp:inline>
              </w:drawing>
            </w:r>
          </w:p>
        </w:tc>
      </w:tr>
      <w:tr w:rsidR="00490200" w14:paraId="2E234499"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78C5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07F9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7E9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676E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16973-18751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CBA9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16973-18087</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D71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18159-18189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ADD0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18684-18751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E296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69E9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0039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A84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61E2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CCCggtacCTGTTGCTGAGACTTCGGACC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0E23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CCCtctagaGAACCCAGATATTGGCTCCAAGG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33C7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10A3864D" wp14:editId="6C640166">
                  <wp:extent cx="100584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57"/>
                          <a:srcRect/>
                          <a:stretch>
                            <a:fillRect/>
                          </a:stretch>
                        </pic:blipFill>
                        <pic:spPr bwMode="auto">
                          <a:xfrm>
                            <a:off x="0" y="0"/>
                            <a:ext cx="13970" cy="12700"/>
                          </a:xfrm>
                          <a:prstGeom prst="rect">
                            <a:avLst/>
                          </a:prstGeom>
                          <a:noFill/>
                        </pic:spPr>
                      </pic:pic>
                    </a:graphicData>
                  </a:graphic>
                </wp:inline>
              </w:drawing>
            </w:r>
          </w:p>
        </w:tc>
      </w:tr>
      <w:tr w:rsidR="00490200" w14:paraId="784B2D4D"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0B713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TRXPT_31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403C17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F22EF8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A4C692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2334-18751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6A1BB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2334-7062</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1B4FCB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10981-11079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4FC0C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18159-18189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9A3C3B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18684-18751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A986ED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4E117C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59254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8F8BAC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CCCggtacCTAGTGGCAGTGTTCGAAGATTCC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9238E1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CCCtctagaCATTGCAGGTATGAATTGCGGAGTAG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0FAC2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396A68E" wp14:editId="55808334">
                  <wp:extent cx="100584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58"/>
                          <a:srcRect/>
                          <a:stretch>
                            <a:fillRect/>
                          </a:stretch>
                        </pic:blipFill>
                        <pic:spPr bwMode="auto">
                          <a:xfrm>
                            <a:off x="0" y="0"/>
                            <a:ext cx="13970" cy="12700"/>
                          </a:xfrm>
                          <a:prstGeom prst="rect">
                            <a:avLst/>
                          </a:prstGeom>
                          <a:noFill/>
                        </pic:spPr>
                      </pic:pic>
                    </a:graphicData>
                  </a:graphic>
                </wp:inline>
              </w:drawing>
            </w:r>
          </w:p>
        </w:tc>
      </w:tr>
      <w:tr w:rsidR="00490200" w14:paraId="05B9470D"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5CF7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lastRenderedPageBreak/>
              <w:t>TRXPT_6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5090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85B0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94E0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2334-18751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3094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2334-3447</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7E57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3615-8543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B366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10981-11079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24F3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18159-18189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470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18684-18751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958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5A47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3B1F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CCCggtacCTGTTGCTGAGACTTCGGACC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F1BC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CCCtctagaCATTGAATAGATAAGCGTAGCCAATCAGC</w:t>
            </w:r>
            <w:r>
              <w:rPr>
                <w:rFonts w:ascii="DejaVu Sans" w:eastAsia="DejaVu Sans" w:hAnsi="DejaVu Sans" w:cs="DejaVu Sans"/>
                <w:color w:val="000000"/>
                <w:sz w:val="6"/>
                <w:szCs w:val="6"/>
                <w:vertAlign w:val="superscript"/>
              </w:rPr>
              <w:t>c</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AAE3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3E365821" wp14:editId="45DFB597">
                  <wp:extent cx="1005840" cy="91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59"/>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I</w:t>
            </w:r>
          </w:p>
        </w:tc>
      </w:tr>
      <w:tr w:rsidR="00490200" w14:paraId="2B7D428F"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FE7688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A1123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E2</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44199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5</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96F21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2334-18751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1D1A78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2334-8543</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314E41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10981-11079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37E745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18159-18189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540D88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18684-18751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3BEDCF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2F3B8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0AACE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9859D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CCCggtacCTGTTGCTGAGACTTCGGACC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BA3B0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CCCtctagaCATTGAATAGATAAGCGTAGCCAATCAGC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176894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32464643" wp14:editId="4D023B1A">
                  <wp:extent cx="100584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59"/>
                          <a:srcRect/>
                          <a:stretch>
                            <a:fillRect/>
                          </a:stretch>
                        </pic:blipFill>
                        <pic:spPr bwMode="auto">
                          <a:xfrm>
                            <a:off x="0" y="0"/>
                            <a:ext cx="13970" cy="12700"/>
                          </a:xfrm>
                          <a:prstGeom prst="rect">
                            <a:avLst/>
                          </a:prstGeom>
                          <a:noFill/>
                        </pic:spPr>
                      </pic:pic>
                    </a:graphicData>
                  </a:graphic>
                </wp:inline>
              </w:drawing>
            </w:r>
          </w:p>
        </w:tc>
      </w:tr>
      <w:tr w:rsidR="00490200" w14:paraId="16C31F2E"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F32A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TRXPT_22</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70E2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7C89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B9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18230-22491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75A1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18230-18350</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769E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6F5C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20419-22491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F769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5212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6762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019A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4E0D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CCCggtacCTGAGGAGGTCGTAGACTCTGC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F19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CCCtctagaGCCAAGCTTGGTCAGGTGAC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E201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69A22837" wp14:editId="0CEDA2AC">
                  <wp:extent cx="1005840" cy="91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60"/>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II</w:t>
            </w:r>
          </w:p>
        </w:tc>
      </w:tr>
      <w:tr w:rsidR="00490200" w14:paraId="595265FA"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68FD9F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TRXPT_23</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7AA942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603775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05004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18230-23884</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E91AF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18230-18350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9BCF1F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20162-23884</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9A6D7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F66299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D55C0D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DD4139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C00114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A4661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CCCggtacCTGAGGAGGTCGTAGACTCTGC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EDD70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CCCtctagaGCCAAGCTTGGTCAGGTGAC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95EEA6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1386480D" wp14:editId="2186CA9B">
                  <wp:extent cx="1005840" cy="91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61"/>
                          <a:srcRect/>
                          <a:stretch>
                            <a:fillRect/>
                          </a:stretch>
                        </pic:blipFill>
                        <pic:spPr bwMode="auto">
                          <a:xfrm>
                            <a:off x="0" y="0"/>
                            <a:ext cx="13970" cy="12700"/>
                          </a:xfrm>
                          <a:prstGeom prst="rect">
                            <a:avLst/>
                          </a:prstGeom>
                          <a:noFill/>
                        </pic:spPr>
                      </pic:pic>
                    </a:graphicData>
                  </a:graphic>
                </wp:inline>
              </w:drawing>
            </w:r>
          </w:p>
        </w:tc>
      </w:tr>
      <w:tr w:rsidR="00490200" w14:paraId="6AA5586A"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F006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TRXPT_24</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EA44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0976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DF87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18234-22116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5B6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18234-18350</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290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18717-18768</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FBF1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3FB9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20419-22116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7252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8E81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7B0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670D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CCCggtacCTGAGGAGGTCGTAGACTCTGC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077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CCCtctagaGCCAAGCTTGGTCAGGTGAC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BA9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4B175268" wp14:editId="58C13F2A">
                  <wp:extent cx="100584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62"/>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III</w:t>
            </w:r>
          </w:p>
        </w:tc>
      </w:tr>
      <w:tr w:rsidR="00490200" w14:paraId="416FD79B"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3DD17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TRXPT_25</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9AB9B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4D2C33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498283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18237-23702</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C4B9CF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18237-18350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D1D1E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18717-23702</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6D5AE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D45830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EBF4F2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C4B33F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C15BDE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226C8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CCCggtacCTGAGGAGGTCGTAGACTCTGC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AB5B2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CCCtctagaGGTAGCACATACTGTATTGCCTGAAGC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0D5B43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08A110DE" wp14:editId="2610C9A0">
                  <wp:extent cx="100584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63"/>
                          <a:srcRect/>
                          <a:stretch>
                            <a:fillRect/>
                          </a:stretch>
                        </pic:blipFill>
                        <pic:spPr bwMode="auto">
                          <a:xfrm>
                            <a:off x="0" y="0"/>
                            <a:ext cx="13970" cy="12700"/>
                          </a:xfrm>
                          <a:prstGeom prst="rect">
                            <a:avLst/>
                          </a:prstGeom>
                          <a:noFill/>
                        </pic:spPr>
                      </pic:pic>
                    </a:graphicData>
                  </a:graphic>
                </wp:inline>
              </w:drawing>
            </w:r>
          </w:p>
        </w:tc>
      </w:tr>
      <w:tr w:rsidR="00490200" w14:paraId="666A4615"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F3A8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82D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87F1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0762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18727-23884</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1F6C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18727-18768</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63CF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D9A6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20419-23884</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A71D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EC9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A527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B8C5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45E1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CCCggtaccGTCCGAAGTCTCAGCAACAGATTC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984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CCCtctagaGCCAAGCTTGGTCAGGTGAC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4B1E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6D13C2B5" wp14:editId="2A2193D0">
                  <wp:extent cx="1005840" cy="91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64"/>
                          <a:srcRect/>
                          <a:stretch>
                            <a:fillRect/>
                          </a:stretch>
                        </pic:blipFill>
                        <pic:spPr bwMode="auto">
                          <a:xfrm>
                            <a:off x="0" y="0"/>
                            <a:ext cx="13970" cy="12700"/>
                          </a:xfrm>
                          <a:prstGeom prst="rect">
                            <a:avLst/>
                          </a:prstGeom>
                          <a:noFill/>
                        </pic:spPr>
                      </pic:pic>
                    </a:graphicData>
                  </a:graphic>
                </wp:inline>
              </w:drawing>
            </w:r>
          </w:p>
        </w:tc>
      </w:tr>
      <w:tr w:rsidR="00490200" w14:paraId="58B4BF57"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60F78F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lastRenderedPageBreak/>
              <w:t>TRXPT_27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A9F40D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A88488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95378F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18727-25168</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254D42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18727-18768</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5AD08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22492-25168</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5FDA88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F36F75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ABBBC9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F3DD91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2BE666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D6C555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CCCggtaccGTCCGAAGTCTCAGCAACAGATTC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12BA1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CCCtctagaTGCAATGCTAATCCTCCTGCTG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97A6D0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6530685A" wp14:editId="0D204414">
                  <wp:extent cx="100584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65"/>
                          <a:srcRect/>
                          <a:stretch>
                            <a:fillRect/>
                          </a:stretch>
                        </pic:blipFill>
                        <pic:spPr bwMode="auto">
                          <a:xfrm>
                            <a:off x="0" y="0"/>
                            <a:ext cx="13970" cy="12700"/>
                          </a:xfrm>
                          <a:prstGeom prst="rect">
                            <a:avLst/>
                          </a:prstGeom>
                          <a:noFill/>
                        </pic:spPr>
                      </pic:pic>
                    </a:graphicData>
                  </a:graphic>
                </wp:inline>
              </w:drawing>
            </w:r>
          </w:p>
        </w:tc>
      </w:tr>
      <w:tr w:rsidR="00490200" w14:paraId="383F59A7"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4FB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8C50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C50D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584F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18230-20732</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B018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18230-18350</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4CF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20162-20732</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29C8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E53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5910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A754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2825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BB2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CCCggtacCTGAGGAGGTCGTAGACTCTGC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C3FD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CCCtctagaGCCAAGCTTGGTCAGGTGAC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A893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29E05EA7" wp14:editId="1F9BE6AA">
                  <wp:extent cx="1005840" cy="91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61"/>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IV</w:t>
            </w:r>
          </w:p>
        </w:tc>
      </w:tr>
      <w:tr w:rsidR="00490200" w14:paraId="624C9F48"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15F1E8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TRXPT_28</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922159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E4</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A38D9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C7B88C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25192-26247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A3A6F7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25192-25701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D20A4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26055-26247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AE149E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FDC929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F0476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F01C2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573CC1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689D3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CCCggtaccGGACACGTGTTCGTTAGAGAACC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664162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CCCtctagaCAGTGCAATCCGACGCTCTG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B3BC5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3AECD1DD" wp14:editId="2A3BD76A">
                  <wp:extent cx="1005840" cy="91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66"/>
                          <a:srcRect/>
                          <a:stretch>
                            <a:fillRect/>
                          </a:stretch>
                        </pic:blipFill>
                        <pic:spPr bwMode="auto">
                          <a:xfrm>
                            <a:off x="0" y="0"/>
                            <a:ext cx="13970" cy="12700"/>
                          </a:xfrm>
                          <a:prstGeom prst="rect">
                            <a:avLst/>
                          </a:prstGeom>
                          <a:noFill/>
                        </pic:spPr>
                      </pic:pic>
                    </a:graphicData>
                  </a:graphic>
                </wp:inline>
              </w:drawing>
            </w:r>
          </w:p>
        </w:tc>
      </w:tr>
      <w:tr w:rsidR="00490200" w14:paraId="20D6067E"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72E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TRXPT_5</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21B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IM</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B72B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C46D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2334-3678</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5C18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2334-3447</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F213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3615-3678</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99FB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0B81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36CA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06C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DE6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CF4A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CCCggtaccTCTGGTGAGATCTTCCAAACAGAAAG</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27F5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CCCtctagaCGCAACCTGTAGGTCCGATTAC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BE9D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4C3C5F6" wp14:editId="758E6101">
                  <wp:extent cx="1005840" cy="914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67"/>
                          <a:srcRect/>
                          <a:stretch>
                            <a:fillRect/>
                          </a:stretch>
                        </pic:blipFill>
                        <pic:spPr bwMode="auto">
                          <a:xfrm>
                            <a:off x="0" y="0"/>
                            <a:ext cx="13970" cy="12700"/>
                          </a:xfrm>
                          <a:prstGeom prst="rect">
                            <a:avLst/>
                          </a:prstGeom>
                          <a:noFill/>
                        </pic:spPr>
                      </pic:pic>
                    </a:graphicData>
                  </a:graphic>
                </wp:inline>
              </w:drawing>
            </w:r>
          </w:p>
        </w:tc>
      </w:tr>
      <w:tr w:rsidR="00490200" w14:paraId="597FA005"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DC3C42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A48BE5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BC10D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7</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0DDCE4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4226-22116</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83F8E6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945DA2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CE1B5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8FC0CD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12238-18350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84351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F6AA8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20419-22116</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BF89C5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B9372C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CCCggtaccGCTCATCATCCAGTTCTAAATTTCTCTCTGC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2A711B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CCCtctagaCCTACTCTACGTCTCTTAGCAGC</w:t>
            </w:r>
            <w:r>
              <w:rPr>
                <w:rFonts w:ascii="DejaVu Sans" w:eastAsia="DejaVu Sans" w:hAnsi="DejaVu Sans" w:cs="DejaVu Sans"/>
                <w:color w:val="000000"/>
                <w:sz w:val="6"/>
                <w:szCs w:val="6"/>
                <w:vertAlign w:val="superscript"/>
              </w:rPr>
              <w:t>c</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5F4FA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722C601E" wp14:editId="2B704960">
                  <wp:extent cx="100584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68"/>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V</w:t>
            </w:r>
          </w:p>
        </w:tc>
      </w:tr>
      <w:tr w:rsidR="00490200" w14:paraId="17CD5F9B"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BE4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36BA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6FF0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1887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4226-22116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A1B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569B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6333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216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13610-18350</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6EE8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18717-18768</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A412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3771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20419-22116</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DD24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CCCggtaccGCTCATCATCCAGTTCTAAATTTCTCTCTGC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9BF5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CCCtctagaGCTTCAGTATTAGCAGCTGCACAACC</w:t>
            </w:r>
            <w:r>
              <w:rPr>
                <w:rFonts w:ascii="DejaVu Sans" w:eastAsia="DejaVu Sans" w:hAnsi="DejaVu Sans" w:cs="DejaVu Sans"/>
                <w:color w:val="000000"/>
                <w:sz w:val="6"/>
                <w:szCs w:val="6"/>
                <w:vertAlign w:val="superscript"/>
              </w:rPr>
              <w:t>c</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E77F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0DBB9FB3" wp14:editId="71EA55DD">
                  <wp:extent cx="100584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69"/>
                          <a:srcRect/>
                          <a:stretch>
                            <a:fillRect/>
                          </a:stretch>
                        </pic:blipFill>
                        <pic:spPr bwMode="auto">
                          <a:xfrm>
                            <a:off x="0" y="0"/>
                            <a:ext cx="13970" cy="12700"/>
                          </a:xfrm>
                          <a:prstGeom prst="rect">
                            <a:avLst/>
                          </a:prstGeom>
                          <a:noFill/>
                        </pic:spPr>
                      </pic:pic>
                    </a:graphicData>
                  </a:graphic>
                </wp:inline>
              </w:drawing>
            </w:r>
            <w:r>
              <w:rPr>
                <w:rFonts w:ascii="DejaVu Sans" w:eastAsia="DejaVu Sans" w:hAnsi="DejaVu Sans" w:cs="DejaVu Sans"/>
                <w:color w:val="000000"/>
                <w:sz w:val="7"/>
                <w:szCs w:val="7"/>
                <w:vertAlign w:val="superscript"/>
              </w:rPr>
              <w:t>VI</w:t>
            </w:r>
          </w:p>
        </w:tc>
      </w:tr>
      <w:tr w:rsidR="00490200" w14:paraId="5978E339"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CD9701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TRXPT_12</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CAEC1D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4FC6A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2A85A5B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4226-25168</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432AF7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782A0E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649A7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387609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22492-25168</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B9136A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CEA8E8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D6B373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5325F8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CCCggtaccGCTCATCATCCAGTTCTAAATTTCTCTCTGC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8884F9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CCCtctagaTTTCCAGCTGAAGCCTGGAG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062CDA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45ECF632" wp14:editId="2EADC032">
                  <wp:extent cx="1005840" cy="914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70"/>
                          <a:srcRect/>
                          <a:stretch>
                            <a:fillRect/>
                          </a:stretch>
                        </pic:blipFill>
                        <pic:spPr bwMode="auto">
                          <a:xfrm>
                            <a:off x="0" y="0"/>
                            <a:ext cx="13970" cy="12700"/>
                          </a:xfrm>
                          <a:prstGeom prst="rect">
                            <a:avLst/>
                          </a:prstGeom>
                          <a:noFill/>
                        </pic:spPr>
                      </pic:pic>
                    </a:graphicData>
                  </a:graphic>
                </wp:inline>
              </w:drawing>
            </w:r>
          </w:p>
        </w:tc>
      </w:tr>
      <w:tr w:rsidR="00490200" w14:paraId="4CC789F8"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1F43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lastRenderedPageBreak/>
              <w:t>TRXPT_13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210F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25FD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2F80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4279-22116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2A86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4279-4360</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301D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A2BB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C9F9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18717-18768</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34AF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F707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20419-22116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99E4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9F3F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CCCggtaccGCTCATCATCCAGTTCTAAATTTCTCTCTGC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1335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CCCtctagaGCCAAGCTTGGTCAGGTGAC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B0D3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AB30472" wp14:editId="20BE71CB">
                  <wp:extent cx="100584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71"/>
                          <a:srcRect/>
                          <a:stretch>
                            <a:fillRect/>
                          </a:stretch>
                        </pic:blipFill>
                        <pic:spPr bwMode="auto">
                          <a:xfrm>
                            <a:off x="0" y="0"/>
                            <a:ext cx="13970" cy="12700"/>
                          </a:xfrm>
                          <a:prstGeom prst="rect">
                            <a:avLst/>
                          </a:prstGeom>
                          <a:noFill/>
                        </pic:spPr>
                      </pic:pic>
                    </a:graphicData>
                  </a:graphic>
                </wp:inline>
              </w:drawing>
            </w:r>
          </w:p>
        </w:tc>
      </w:tr>
      <w:tr w:rsidR="00490200" w14:paraId="70A3C70A"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E04BA6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TRXPT_14</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66FA39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3E384B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A6818E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4304-16870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6914D3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4304-4360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F4CCA7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001197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53BC8D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13610-16870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193F62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4573C8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1B9619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FE14B7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CCCggtaccGCTCATCATCCAGTTCTAAATTTCTCTCTGC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11A342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CCCtctagaGCTTCAGTATTAGCAGCTGCACAACC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54FC77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45202D32" wp14:editId="7E72B6B2">
                  <wp:extent cx="1005840" cy="914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69"/>
                          <a:srcRect/>
                          <a:stretch>
                            <a:fillRect/>
                          </a:stretch>
                        </pic:blipFill>
                        <pic:spPr bwMode="auto">
                          <a:xfrm>
                            <a:off x="0" y="0"/>
                            <a:ext cx="13970" cy="12700"/>
                          </a:xfrm>
                          <a:prstGeom prst="rect">
                            <a:avLst/>
                          </a:prstGeom>
                          <a:noFill/>
                        </pic:spPr>
                      </pic:pic>
                    </a:graphicData>
                  </a:graphic>
                </wp:inline>
              </w:drawing>
            </w:r>
          </w:p>
        </w:tc>
      </w:tr>
      <w:tr w:rsidR="00490200" w14:paraId="230E1F33"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7CE4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17F8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6B3B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34F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6934-12709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049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6934-6969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CC23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2812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1AD9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9430-12709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CDCA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912D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4695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B1BE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CCCggtaccGGATCTCCAGATTCTGGTCTGTG</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973B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CCCtctagaGCCTGTCCAACAACCTGC</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7DE7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11D7BB36" wp14:editId="1C35B35A">
                  <wp:extent cx="100584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72"/>
                          <a:srcRect/>
                          <a:stretch>
                            <a:fillRect/>
                          </a:stretch>
                        </pic:blipFill>
                        <pic:spPr bwMode="auto">
                          <a:xfrm>
                            <a:off x="0" y="0"/>
                            <a:ext cx="13970" cy="12700"/>
                          </a:xfrm>
                          <a:prstGeom prst="rect">
                            <a:avLst/>
                          </a:prstGeom>
                          <a:noFill/>
                        </pic:spPr>
                      </pic:pic>
                    </a:graphicData>
                  </a:graphic>
                </wp:inline>
              </w:drawing>
            </w:r>
          </w:p>
        </w:tc>
      </w:tr>
      <w:tr w:rsidR="00490200" w14:paraId="750757A2"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FCFA23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B8E3AA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A6BB32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C51E1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6934-12709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52004F0"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6934-6969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86A47F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570A2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62E0C1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11001-12709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F9344A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FBD49C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BC531D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715BBF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CCCggtaccGGATCTCCAGATTCTGGTCTGTG</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7D857F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CTCCCCATCTAGACCTTTCATCTAACTG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1B417F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532E4807" wp14:editId="318E278F">
                  <wp:extent cx="1005840" cy="914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73"/>
                          <a:srcRect/>
                          <a:stretch>
                            <a:fillRect/>
                          </a:stretch>
                        </pic:blipFill>
                        <pic:spPr bwMode="auto">
                          <a:xfrm>
                            <a:off x="0" y="0"/>
                            <a:ext cx="13970" cy="12700"/>
                          </a:xfrm>
                          <a:prstGeom prst="rect">
                            <a:avLst/>
                          </a:prstGeom>
                          <a:noFill/>
                        </pic:spPr>
                      </pic:pic>
                    </a:graphicData>
                  </a:graphic>
                </wp:inline>
              </w:drawing>
            </w:r>
          </w:p>
        </w:tc>
      </w:tr>
      <w:tr w:rsidR="00490200" w14:paraId="2094C093"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9CEF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TRXPT_18</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51CA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97E2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A44B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6934-12709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AD51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6934-6969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D4DB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0D98"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7A6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12238-12709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8B5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0E64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F776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39D8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CCCggtaccGGATCTCCAGATTCTGGTCTGTG</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017D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CCCtctagaGTTCTCCGTCTTCTACGTCGTG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F895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35906BD2" wp14:editId="00852D16">
                  <wp:extent cx="1005840" cy="914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74"/>
                          <a:srcRect/>
                          <a:stretch>
                            <a:fillRect/>
                          </a:stretch>
                        </pic:blipFill>
                        <pic:spPr bwMode="auto">
                          <a:xfrm>
                            <a:off x="0" y="0"/>
                            <a:ext cx="13970" cy="12700"/>
                          </a:xfrm>
                          <a:prstGeom prst="rect">
                            <a:avLst/>
                          </a:prstGeom>
                          <a:noFill/>
                        </pic:spPr>
                      </pic:pic>
                    </a:graphicData>
                  </a:graphic>
                </wp:inline>
              </w:drawing>
            </w:r>
          </w:p>
        </w:tc>
      </w:tr>
      <w:tr w:rsidR="00490200" w14:paraId="21F69FEF"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5AC857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TRXPT_19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688292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A0771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706969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7401-7836</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CBC67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7401-7531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E8AACF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7754-7836</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1B17E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F703F3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0364CC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6E2CCE7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7FA0A2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E63EF9A" w14:textId="77777777" w:rsidR="001B7EE9" w:rsidRDefault="001B7EE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AEBCFB2" w14:textId="77777777" w:rsidR="001B7EE9" w:rsidRDefault="001B7EE9">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38BB6F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N/A</w:t>
            </w:r>
          </w:p>
        </w:tc>
      </w:tr>
      <w:tr w:rsidR="00490200" w14:paraId="49A74FD8"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25FE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TRXPT_20</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4FC3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D0D7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8A9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7765-16856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4709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7765-7807</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03CA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12466-16856</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4A14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CC26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A51D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19073"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F573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248E6"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CCCggtaccGAGGATTTGAAGCCAATTATCCTTCAACG</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390E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CCCtctagaCTGCAGGCACAACAGGTG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B80C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101F57A6" wp14:editId="1D7226B1">
                  <wp:extent cx="1005840"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75"/>
                          <a:srcRect/>
                          <a:stretch>
                            <a:fillRect/>
                          </a:stretch>
                        </pic:blipFill>
                        <pic:spPr bwMode="auto">
                          <a:xfrm>
                            <a:off x="0" y="0"/>
                            <a:ext cx="13970" cy="12700"/>
                          </a:xfrm>
                          <a:prstGeom prst="rect">
                            <a:avLst/>
                          </a:prstGeom>
                          <a:noFill/>
                        </pic:spPr>
                      </pic:pic>
                    </a:graphicData>
                  </a:graphic>
                </wp:inline>
              </w:drawing>
            </w:r>
          </w:p>
        </w:tc>
      </w:tr>
      <w:tr w:rsidR="00490200" w14:paraId="527CF4C0"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2AEE23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TRXPT_8</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7A2A370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8D942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4</w:t>
            </w:r>
          </w:p>
        </w:tc>
        <w:tc>
          <w:tcPr>
            <w:tcW w:w="72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278A39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4226-10549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929678C"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476317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5546045"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0FE203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8570-10549</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4025CB9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4FF7CBB"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54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5860B97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11B91362"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CCCggtaccGCTCATCATCCAGTTCTAAATTTCTCTCTGC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04294CB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CCCtctagaCCTATCATCTGGCAATTCCGGTATG</w:t>
            </w:r>
            <w:r>
              <w:rPr>
                <w:rFonts w:ascii="DejaVu Sans" w:eastAsia="DejaVu Sans" w:hAnsi="DejaVu Sans" w:cs="DejaVu Sans"/>
                <w:color w:val="000000"/>
                <w:sz w:val="6"/>
                <w:szCs w:val="6"/>
                <w:vertAlign w:val="superscript"/>
              </w:rPr>
              <w:t>b</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EFEFEF"/>
            <w:tcMar>
              <w:top w:w="0" w:type="dxa"/>
              <w:left w:w="0" w:type="dxa"/>
              <w:bottom w:w="0" w:type="dxa"/>
              <w:right w:w="0" w:type="dxa"/>
            </w:tcMar>
            <w:vAlign w:val="center"/>
          </w:tcPr>
          <w:p w14:paraId="3F704E6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3F4319CC" wp14:editId="0C417FDE">
                  <wp:extent cx="1005840" cy="914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76"/>
                          <a:srcRect/>
                          <a:stretch>
                            <a:fillRect/>
                          </a:stretch>
                        </pic:blipFill>
                        <pic:spPr bwMode="auto">
                          <a:xfrm>
                            <a:off x="0" y="0"/>
                            <a:ext cx="13970" cy="12700"/>
                          </a:xfrm>
                          <a:prstGeom prst="rect">
                            <a:avLst/>
                          </a:prstGeom>
                          <a:noFill/>
                        </pic:spPr>
                      </pic:pic>
                    </a:graphicData>
                  </a:graphic>
                </wp:inline>
              </w:drawing>
            </w:r>
          </w:p>
        </w:tc>
      </w:tr>
      <w:tr w:rsidR="00490200" w14:paraId="7200D50F" w14:textId="77777777" w:rsidTr="00490200">
        <w:trPr>
          <w:cantSplit/>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451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lastRenderedPageBreak/>
              <w:t>TRXPT_9</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546F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MLP</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F5F3F"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7"/>
                <w:szCs w:val="7"/>
              </w:rPr>
              <w:t>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5C99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4226-20484</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4115A"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4226-4360</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AA5ED"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7454-7531</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C551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7754-7807</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8D441"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12238-18768</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3A25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20162-20223</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7F6E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20419-20484</w:t>
            </w:r>
          </w:p>
        </w:tc>
        <w:tc>
          <w:tcPr>
            <w:tcW w:w="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84CE4"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DejaVu Sans" w:eastAsia="DejaVu Sans" w:hAnsi="DejaVu Sans" w:cs="DejaVu Sans"/>
                <w:color w:val="000000"/>
                <w:sz w:val="6"/>
                <w:szCs w:val="6"/>
              </w:rPr>
              <w:t>-</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AB799"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CCCggtaccGCTCATCATCCAGTTCTAAATTTCTCTCTGC</w:t>
            </w:r>
            <w:r>
              <w:rPr>
                <w:rFonts w:ascii="DejaVu Sans" w:eastAsia="DejaVu Sans" w:hAnsi="DejaVu Sans" w:cs="DejaVu Sans"/>
                <w:color w:val="000000"/>
                <w:sz w:val="6"/>
                <w:szCs w:val="6"/>
                <w:vertAlign w:val="superscript"/>
              </w:rPr>
              <w:t>a</w:t>
            </w:r>
            <w:proofErr w:type="spellEnd"/>
          </w:p>
        </w:tc>
        <w:tc>
          <w:tcPr>
            <w:tcW w:w="16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22A3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DejaVu Sans" w:eastAsia="DejaVu Sans" w:hAnsi="DejaVu Sans" w:cs="DejaVu Sans"/>
                <w:color w:val="000000"/>
                <w:sz w:val="6"/>
                <w:szCs w:val="6"/>
              </w:rPr>
              <w:t>CCCtctagaCCTACTCTACGTCTCTTAGCAGC</w:t>
            </w:r>
            <w:r>
              <w:rPr>
                <w:rFonts w:ascii="DejaVu Sans" w:eastAsia="DejaVu Sans" w:hAnsi="DejaVu Sans" w:cs="DejaVu Sans"/>
                <w:color w:val="000000"/>
                <w:sz w:val="6"/>
                <w:szCs w:val="6"/>
                <w:vertAlign w:val="superscript"/>
              </w:rPr>
              <w:t>c</w:t>
            </w:r>
            <w:proofErr w:type="spellEnd"/>
          </w:p>
        </w:tc>
        <w:tc>
          <w:tcPr>
            <w:tcW w:w="1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A84AE"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noProof/>
              </w:rPr>
              <w:drawing>
                <wp:inline distT="0" distB="0" distL="0" distR="0" wp14:anchorId="47D30DDD" wp14:editId="06C7A331">
                  <wp:extent cx="1005840" cy="914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68"/>
                          <a:srcRect/>
                          <a:stretch>
                            <a:fillRect/>
                          </a:stretch>
                        </pic:blipFill>
                        <pic:spPr bwMode="auto">
                          <a:xfrm>
                            <a:off x="0" y="0"/>
                            <a:ext cx="13970" cy="12700"/>
                          </a:xfrm>
                          <a:prstGeom prst="rect">
                            <a:avLst/>
                          </a:prstGeom>
                          <a:noFill/>
                        </pic:spPr>
                      </pic:pic>
                    </a:graphicData>
                  </a:graphic>
                </wp:inline>
              </w:drawing>
            </w:r>
          </w:p>
        </w:tc>
      </w:tr>
      <w:tr w:rsidR="001B7EE9" w14:paraId="3C5CAA93" w14:textId="77777777" w:rsidTr="00490200">
        <w:trPr>
          <w:cantSplit/>
        </w:trPr>
        <w:tc>
          <w:tcPr>
            <w:tcW w:w="11358" w:type="dxa"/>
            <w:gridSpan w:val="14"/>
            <w:tcBorders>
              <w:top w:val="none" w:sz="0"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4FA9617" w14:textId="77777777" w:rsidR="001B7EE9" w:rsidRDefault="0000000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DejaVu Sans" w:eastAsia="DejaVu Sans" w:hAnsi="DejaVu Sans" w:cs="DejaVu Sans"/>
                <w:color w:val="000000"/>
                <w:sz w:val="7"/>
                <w:szCs w:val="7"/>
                <w:vertAlign w:val="superscript"/>
              </w:rPr>
              <w:t>a</w:t>
            </w:r>
            <w:r>
              <w:rPr>
                <w:rFonts w:ascii="DejaVu Sans" w:eastAsia="DejaVu Sans" w:hAnsi="DejaVu Sans" w:cs="DejaVu Sans"/>
                <w:color w:val="000000"/>
                <w:sz w:val="7"/>
                <w:szCs w:val="7"/>
              </w:rPr>
              <w:t>Primer</w:t>
            </w:r>
            <w:proofErr w:type="spellEnd"/>
            <w:r>
              <w:rPr>
                <w:rFonts w:ascii="DejaVu Sans" w:eastAsia="DejaVu Sans" w:hAnsi="DejaVu Sans" w:cs="DejaVu Sans"/>
                <w:color w:val="000000"/>
                <w:sz w:val="7"/>
                <w:szCs w:val="7"/>
              </w:rPr>
              <w:t xml:space="preserve"> binds inside first exon; </w:t>
            </w:r>
            <w:proofErr w:type="spellStart"/>
            <w:r>
              <w:rPr>
                <w:rFonts w:ascii="DejaVu Sans" w:eastAsia="DejaVu Sans" w:hAnsi="DejaVu Sans" w:cs="DejaVu Sans"/>
                <w:color w:val="000000"/>
                <w:sz w:val="7"/>
                <w:szCs w:val="7"/>
                <w:vertAlign w:val="superscript"/>
              </w:rPr>
              <w:t>b</w:t>
            </w:r>
            <w:r>
              <w:rPr>
                <w:rFonts w:ascii="DejaVu Sans" w:eastAsia="DejaVu Sans" w:hAnsi="DejaVu Sans" w:cs="DejaVu Sans"/>
                <w:color w:val="000000"/>
                <w:sz w:val="7"/>
                <w:szCs w:val="7"/>
              </w:rPr>
              <w:t>Primer</w:t>
            </w:r>
            <w:proofErr w:type="spellEnd"/>
            <w:r>
              <w:rPr>
                <w:rFonts w:ascii="DejaVu Sans" w:eastAsia="DejaVu Sans" w:hAnsi="DejaVu Sans" w:cs="DejaVu Sans"/>
                <w:color w:val="000000"/>
                <w:sz w:val="7"/>
                <w:szCs w:val="7"/>
              </w:rPr>
              <w:t xml:space="preserve"> binds inside terminal exon; </w:t>
            </w:r>
            <w:proofErr w:type="spellStart"/>
            <w:r>
              <w:rPr>
                <w:rFonts w:ascii="DejaVu Sans" w:eastAsia="DejaVu Sans" w:hAnsi="DejaVu Sans" w:cs="DejaVu Sans"/>
                <w:color w:val="000000"/>
                <w:sz w:val="7"/>
                <w:szCs w:val="7"/>
                <w:vertAlign w:val="superscript"/>
              </w:rPr>
              <w:t>c</w:t>
            </w:r>
            <w:r>
              <w:rPr>
                <w:rFonts w:ascii="DejaVu Sans" w:eastAsia="DejaVu Sans" w:hAnsi="DejaVu Sans" w:cs="DejaVu Sans"/>
                <w:color w:val="000000"/>
                <w:sz w:val="7"/>
                <w:szCs w:val="7"/>
              </w:rPr>
              <w:t>Primer</w:t>
            </w:r>
            <w:proofErr w:type="spellEnd"/>
            <w:r>
              <w:rPr>
                <w:rFonts w:ascii="DejaVu Sans" w:eastAsia="DejaVu Sans" w:hAnsi="DejaVu Sans" w:cs="DejaVu Sans"/>
                <w:color w:val="000000"/>
                <w:sz w:val="7"/>
                <w:szCs w:val="7"/>
              </w:rPr>
              <w:t xml:space="preserve"> binds inside fourth exon; </w:t>
            </w:r>
            <w:proofErr w:type="spellStart"/>
            <w:r>
              <w:rPr>
                <w:rFonts w:ascii="DejaVu Sans" w:eastAsia="DejaVu Sans" w:hAnsi="DejaVu Sans" w:cs="DejaVu Sans"/>
                <w:color w:val="000000"/>
                <w:sz w:val="7"/>
                <w:szCs w:val="7"/>
                <w:vertAlign w:val="superscript"/>
              </w:rPr>
              <w:t>I</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TRXPT_7 due to identical splicing; </w:t>
            </w:r>
            <w:proofErr w:type="spellStart"/>
            <w:r>
              <w:rPr>
                <w:rFonts w:ascii="DejaVu Sans" w:eastAsia="DejaVu Sans" w:hAnsi="DejaVu Sans" w:cs="DejaVu Sans"/>
                <w:color w:val="000000"/>
                <w:sz w:val="7"/>
                <w:szCs w:val="7"/>
                <w:vertAlign w:val="superscript"/>
              </w:rPr>
              <w:t>II</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last 3 exons of TRXPT_10 due to identical splicing; </w:t>
            </w:r>
            <w:proofErr w:type="spellStart"/>
            <w:r>
              <w:rPr>
                <w:rFonts w:ascii="DejaVu Sans" w:eastAsia="DejaVu Sans" w:hAnsi="DejaVu Sans" w:cs="DejaVu Sans"/>
                <w:color w:val="000000"/>
                <w:sz w:val="7"/>
                <w:szCs w:val="7"/>
                <w:vertAlign w:val="superscript"/>
              </w:rPr>
              <w:t>III</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last 4 exons of TRXPT_11 due to identical splicing; </w:t>
            </w:r>
            <w:proofErr w:type="spellStart"/>
            <w:r>
              <w:rPr>
                <w:rFonts w:ascii="DejaVu Sans" w:eastAsia="DejaVu Sans" w:hAnsi="DejaVu Sans" w:cs="DejaVu Sans"/>
                <w:color w:val="000000"/>
                <w:sz w:val="7"/>
                <w:szCs w:val="7"/>
                <w:vertAlign w:val="superscript"/>
              </w:rPr>
              <w:t>IV</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w:t>
            </w:r>
            <w:proofErr w:type="spellStart"/>
            <w:r>
              <w:rPr>
                <w:rFonts w:ascii="DejaVu Sans" w:eastAsia="DejaVu Sans" w:hAnsi="DejaVu Sans" w:cs="DejaVu Sans"/>
                <w:color w:val="000000"/>
                <w:sz w:val="7"/>
                <w:szCs w:val="7"/>
              </w:rPr>
              <w:t>dentical</w:t>
            </w:r>
            <w:proofErr w:type="spellEnd"/>
            <w:r>
              <w:rPr>
                <w:rFonts w:ascii="DejaVu Sans" w:eastAsia="DejaVu Sans" w:hAnsi="DejaVu Sans" w:cs="DejaVu Sans"/>
                <w:color w:val="000000"/>
                <w:sz w:val="7"/>
                <w:szCs w:val="7"/>
              </w:rPr>
              <w:t xml:space="preserve"> to TRXPT_23 due to identical splicing; </w:t>
            </w:r>
            <w:proofErr w:type="spellStart"/>
            <w:r>
              <w:rPr>
                <w:rFonts w:ascii="DejaVu Sans" w:eastAsia="DejaVu Sans" w:hAnsi="DejaVu Sans" w:cs="DejaVu Sans"/>
                <w:color w:val="000000"/>
                <w:sz w:val="7"/>
                <w:szCs w:val="7"/>
                <w:vertAlign w:val="superscript"/>
              </w:rPr>
              <w:t>V</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TRXPT_9 due to identical splicing; </w:t>
            </w:r>
            <w:proofErr w:type="spellStart"/>
            <w:r>
              <w:rPr>
                <w:rFonts w:ascii="DejaVu Sans" w:eastAsia="DejaVu Sans" w:hAnsi="DejaVu Sans" w:cs="DejaVu Sans"/>
                <w:color w:val="000000"/>
                <w:sz w:val="7"/>
                <w:szCs w:val="7"/>
                <w:vertAlign w:val="superscript"/>
              </w:rPr>
              <w:t>VI</w:t>
            </w:r>
            <w:r>
              <w:rPr>
                <w:rFonts w:ascii="DejaVu Sans" w:eastAsia="DejaVu Sans" w:hAnsi="DejaVu Sans" w:cs="DejaVu Sans"/>
                <w:color w:val="000000"/>
                <w:sz w:val="7"/>
                <w:szCs w:val="7"/>
              </w:rPr>
              <w:t>Agarose</w:t>
            </w:r>
            <w:proofErr w:type="spellEnd"/>
            <w:r>
              <w:rPr>
                <w:rFonts w:ascii="DejaVu Sans" w:eastAsia="DejaVu Sans" w:hAnsi="DejaVu Sans" w:cs="DejaVu Sans"/>
                <w:color w:val="000000"/>
                <w:sz w:val="7"/>
                <w:szCs w:val="7"/>
              </w:rPr>
              <w:t xml:space="preserve"> gel identical to TRXPT_14 due to identical splicing; </w:t>
            </w:r>
          </w:p>
        </w:tc>
      </w:tr>
    </w:tbl>
    <w:p w14:paraId="4A08A869" w14:textId="77777777" w:rsidR="001B7EE9" w:rsidRDefault="00000000">
      <w:pPr>
        <w:pStyle w:val="BodyText"/>
      </w:pPr>
      <w:r>
        <w:t>In the table above, the restriction sites in the primer tails are shown in lowercase letters. All the primer melting temperatures (TMs) are 58-60</w:t>
      </w:r>
      <w:r>
        <w:rPr>
          <w:vertAlign w:val="superscript"/>
        </w:rPr>
        <w:t>o</w:t>
      </w:r>
      <w:r>
        <w:t>C using a hot start Taq DNA polymerase. The PCR reaction mix was made per manufacturer’s instructions. The PCR cycling conditions were as follows: Initial denaturation – 95</w:t>
      </w:r>
      <w:r>
        <w:rPr>
          <w:vertAlign w:val="superscript"/>
        </w:rPr>
        <w:t>o</w:t>
      </w:r>
      <w:r>
        <w:t>C for 1 minute; cyclical denaturation – 95</w:t>
      </w:r>
      <w:r>
        <w:rPr>
          <w:vertAlign w:val="superscript"/>
        </w:rPr>
        <w:t>o</w:t>
      </w:r>
      <w:r>
        <w:t>C for 30 seconds, annealing – variable temperature (53</w:t>
      </w:r>
      <w:r>
        <w:rPr>
          <w:vertAlign w:val="superscript"/>
        </w:rPr>
        <w:t>o</w:t>
      </w:r>
      <w:r>
        <w:t>C-56</w:t>
      </w:r>
      <w:r>
        <w:rPr>
          <w:vertAlign w:val="superscript"/>
        </w:rPr>
        <w:t>o</w:t>
      </w:r>
      <w:r>
        <w:t>C) for 30 seconds, primer extension – 68</w:t>
      </w:r>
      <w:r>
        <w:rPr>
          <w:vertAlign w:val="superscript"/>
        </w:rPr>
        <w:t>o</w:t>
      </w:r>
      <w:r>
        <w:t>C for variable time, and final elongation – 68</w:t>
      </w:r>
      <w:r>
        <w:rPr>
          <w:vertAlign w:val="superscript"/>
        </w:rPr>
        <w:t>o</w:t>
      </w:r>
      <w:r>
        <w:t>C for 5 minutes. We used 35 cycles of amplification.</w:t>
      </w:r>
    </w:p>
    <w:p w14:paraId="4931AA46" w14:textId="77777777" w:rsidR="001B7EE9" w:rsidRDefault="00000000">
      <w:pPr>
        <w:pStyle w:val="BodyText"/>
      </w:pPr>
      <w:r>
        <w:rPr>
          <w:b/>
          <w:bCs/>
        </w:rPr>
        <w:t>Supplementary Computational Analysis</w:t>
      </w:r>
      <w:r>
        <w:br/>
      </w:r>
      <w:proofErr w:type="spellStart"/>
      <w:r>
        <w:t>Snakemake</w:t>
      </w:r>
      <w:proofErr w:type="spellEnd"/>
      <w:r>
        <w:t xml:space="preserve"> v7.24.0 was used to manage our entire workflow. A graph of the main steps in our pipeline generated with </w:t>
      </w:r>
      <w:proofErr w:type="spellStart"/>
      <w:r>
        <w:t>Snakemake</w:t>
      </w:r>
      <w:proofErr w:type="spellEnd"/>
      <w:r>
        <w:t xml:space="preserve"> is shown below. Our trimmed RNA-seq reads were mapped to the genome of </w:t>
      </w:r>
      <w:r>
        <w:rPr>
          <w:i/>
          <w:iCs/>
        </w:rPr>
        <w:t>M. gallopavo</w:t>
      </w:r>
      <w:r>
        <w:t xml:space="preserve"> (with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14:paraId="115E0903" w14:textId="77777777" w:rsidR="001B7EE9" w:rsidRDefault="00000000">
      <w:pPr>
        <w:pStyle w:val="BodyText"/>
      </w:pPr>
      <w:r>
        <w:t>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14:paraId="5F8C79CD" w14:textId="77777777" w:rsidR="001B7EE9" w:rsidRDefault="00000000">
      <w:pPr>
        <w:pStyle w:val="BodyText"/>
      </w:pPr>
      <w:r>
        <w:lastRenderedPageBreak/>
        <w:t>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14:paraId="2B2992C7" w14:textId="77777777" w:rsidR="001B7EE9" w:rsidRDefault="00000000">
      <w:pPr>
        <w:pStyle w:val="BodyText"/>
      </w:pPr>
      <w:r>
        <w:t xml:space="preserve">We used </w:t>
      </w:r>
      <w:proofErr w:type="spellStart"/>
      <w:r>
        <w:t>RegTools</w:t>
      </w:r>
      <w:proofErr w:type="spellEnd"/>
      <w:r>
        <w:t xml:space="preserve"> to extract and analyze the splice junctions in the BAM files. The command “</w:t>
      </w:r>
      <w:proofErr w:type="spellStart"/>
      <w:r>
        <w:t>regtools</w:t>
      </w:r>
      <w:proofErr w:type="spellEnd"/>
      <w:r>
        <w:t xml:space="preserve"> junctions extract” provides a wealth of information about all the splice sites in the BAM file provided such as: the start and end positions, the strand, and number of reads supporting the splice junctions. The command “</w:t>
      </w:r>
      <w:proofErr w:type="spellStart"/>
      <w:r>
        <w:t>regtools</w:t>
      </w:r>
      <w:proofErr w:type="spellEnd"/>
      <w:r>
        <w:t xml:space="preserve"> junctions annotate” gives even more information such as: the splice site donor-acceptor sequences and transcripts/genes that overlap the junction. This information was the basis for estimating and comparing the splicing activity of different regions (TUs) of THEV over time. Also, </w:t>
      </w:r>
      <w:proofErr w:type="spellStart"/>
      <w:r>
        <w:t>Samtools</w:t>
      </w:r>
      <w:proofErr w:type="spellEnd"/>
      <w:r>
        <w:t xml:space="preserve"> was also used to count the total sequencing reads for all replicates at each time point.</w:t>
      </w:r>
    </w:p>
    <w:p w14:paraId="74F0A5F2" w14:textId="77777777" w:rsidR="001B7EE9" w:rsidRDefault="00000000">
      <w:pPr>
        <w:pStyle w:val="CaptionedFigure"/>
      </w:pPr>
      <w:r>
        <w:rPr>
          <w:noProof/>
        </w:rPr>
        <w:lastRenderedPageBreak/>
        <w:drawing>
          <wp:inline distT="0" distB="0" distL="0" distR="0" wp14:anchorId="33CC425A" wp14:editId="3E1A4F56">
            <wp:extent cx="5943600" cy="8483083"/>
            <wp:effectExtent l="0" t="0" r="0" b="0"/>
            <wp:docPr id="77" name="Picture" descr="A flowchart of the major steps in the computationalanalysis pipeline (generated with Snakemake)"/>
            <wp:cNvGraphicFramePr/>
            <a:graphic xmlns:a="http://schemas.openxmlformats.org/drawingml/2006/main">
              <a:graphicData uri="http://schemas.openxmlformats.org/drawingml/2006/picture">
                <pic:pic xmlns:pic="http://schemas.openxmlformats.org/drawingml/2006/picture">
                  <pic:nvPicPr>
                    <pic:cNvPr id="78" name="Picture" descr="project_map.png"/>
                    <pic:cNvPicPr>
                      <a:picLocks noChangeAspect="1" noChangeArrowheads="1"/>
                    </pic:cNvPicPr>
                  </pic:nvPicPr>
                  <pic:blipFill>
                    <a:blip r:embed="rId77"/>
                    <a:stretch>
                      <a:fillRect/>
                    </a:stretch>
                  </pic:blipFill>
                  <pic:spPr bwMode="auto">
                    <a:xfrm>
                      <a:off x="0" y="0"/>
                      <a:ext cx="5943600" cy="8483083"/>
                    </a:xfrm>
                    <a:prstGeom prst="rect">
                      <a:avLst/>
                    </a:prstGeom>
                    <a:noFill/>
                    <a:ln w="9525">
                      <a:noFill/>
                      <a:headEnd/>
                      <a:tailEnd/>
                    </a:ln>
                  </pic:spPr>
                </pic:pic>
              </a:graphicData>
            </a:graphic>
          </wp:inline>
        </w:drawing>
      </w:r>
    </w:p>
    <w:p w14:paraId="4F1B23F5" w14:textId="77777777" w:rsidR="001B7EE9" w:rsidRDefault="00000000">
      <w:pPr>
        <w:pStyle w:val="ImageCaption"/>
      </w:pPr>
      <w:r>
        <w:lastRenderedPageBreak/>
        <w:t xml:space="preserve">A flowchart of the major steps in the </w:t>
      </w:r>
      <w:proofErr w:type="spellStart"/>
      <w:r>
        <w:t>computationalanalysis</w:t>
      </w:r>
      <w:proofErr w:type="spellEnd"/>
      <w:r>
        <w:t xml:space="preserve"> pipeline (</w:t>
      </w:r>
      <w:r>
        <w:rPr>
          <w:i/>
          <w:iCs/>
        </w:rPr>
        <w:t xml:space="preserve">generated with </w:t>
      </w:r>
      <w:proofErr w:type="spellStart"/>
      <w:r>
        <w:rPr>
          <w:i/>
          <w:iCs/>
        </w:rPr>
        <w:t>Snakemake</w:t>
      </w:r>
      <w:proofErr w:type="spellEnd"/>
      <w:r>
        <w:t>)</w:t>
      </w:r>
      <w:bookmarkEnd w:id="49"/>
    </w:p>
    <w:sectPr w:rsidR="001B7EE9" w:rsidSect="001E35BA">
      <w:footerReference w:type="even" r:id="rId78"/>
      <w:footerReference w:type="default" r:id="rId79"/>
      <w:type w:val="continuous"/>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AF248" w14:textId="77777777" w:rsidR="001E35BA" w:rsidRDefault="001E35BA">
      <w:pPr>
        <w:spacing w:after="0"/>
      </w:pPr>
      <w:r>
        <w:separator/>
      </w:r>
    </w:p>
  </w:endnote>
  <w:endnote w:type="continuationSeparator" w:id="0">
    <w:p w14:paraId="084EA5E5" w14:textId="77777777" w:rsidR="001E35BA" w:rsidRDefault="001E35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venir">
    <w:panose1 w:val="02000503020000020003"/>
    <w:charset w:val="4D"/>
    <w:family w:val="swiss"/>
    <w:pitch w:val="variable"/>
    <w:sig w:usb0="800000AF" w:usb1="5000204A" w:usb2="00000000" w:usb3="00000000" w:csb0="0000009B" w:csb1="00000000"/>
  </w:font>
  <w:font w:name="DejaVu Sans">
    <w:altName w:val="Verdan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1D02CDEF"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A2FD14"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246F09A9" w14:textId="77777777" w:rsidR="00000000" w:rsidRDefault="00000000"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D2657F"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F86F9" w14:textId="77777777" w:rsidR="001E35BA" w:rsidRDefault="001E35BA">
      <w:pPr>
        <w:spacing w:after="0"/>
      </w:pPr>
      <w:r>
        <w:separator/>
      </w:r>
    </w:p>
  </w:footnote>
  <w:footnote w:type="continuationSeparator" w:id="0">
    <w:p w14:paraId="5B299AA8" w14:textId="77777777" w:rsidR="001E35BA" w:rsidRDefault="001E35B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37A2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BAA4FCD"/>
    <w:multiLevelType w:val="hybridMultilevel"/>
    <w:tmpl w:val="6A12A712"/>
    <w:lvl w:ilvl="0" w:tplc="D3B0A2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B53A92"/>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59129485">
    <w:abstractNumId w:val="0"/>
  </w:num>
  <w:num w:numId="2" w16cid:durableId="9139055">
    <w:abstractNumId w:val="1"/>
  </w:num>
  <w:num w:numId="3" w16cid:durableId="1843011354">
    <w:abstractNumId w:val="2"/>
  </w:num>
  <w:num w:numId="4" w16cid:durableId="9852795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EE9"/>
    <w:rsid w:val="001B7EE9"/>
    <w:rsid w:val="001E35BA"/>
    <w:rsid w:val="00490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CD90D4"/>
  <w15:docId w15:val="{BEC8B042-4CB4-F24A-979D-280FD801B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F6C67"/>
    <w:pPr>
      <w:keepNext/>
      <w:keepLines/>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6342A"/>
    <w:pPr>
      <w:keepNext/>
      <w:keepLines/>
      <w:spacing w:before="200" w:after="0"/>
      <w:outlineLvl w:val="1"/>
    </w:pPr>
    <w:rPr>
      <w:rFonts w:ascii="Arial" w:eastAsiaTheme="majorEastAsia" w:hAnsi="Arial" w:cstheme="majorBidi"/>
      <w:b/>
      <w:bCs/>
      <w:color w:val="000000" w:themeColor="text1"/>
      <w:szCs w:val="28"/>
    </w:rPr>
  </w:style>
  <w:style w:type="paragraph" w:styleId="Heading3">
    <w:name w:val="heading 3"/>
    <w:basedOn w:val="Normal"/>
    <w:next w:val="BodyText"/>
    <w:uiPriority w:val="9"/>
    <w:unhideWhenUsed/>
    <w:qFormat/>
    <w:rsid w:val="003F6C67"/>
    <w:pPr>
      <w:keepNext/>
      <w:keepLines/>
      <w:spacing w:before="200" w:after="0"/>
      <w:outlineLvl w:val="2"/>
    </w:pPr>
    <w:rPr>
      <w:rFonts w:ascii="Arial" w:eastAsiaTheme="majorEastAsia" w:hAnsi="Arial"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66342A"/>
    <w:pPr>
      <w:spacing w:before="180" w:after="180" w:line="480" w:lineRule="auto"/>
    </w:pPr>
    <w:rPr>
      <w:rFonts w:ascii="Arial" w:hAnsi="Arial"/>
      <w:color w:val="000000" w:themeColor="text1"/>
      <w:sz w:val="22"/>
    </w:rPr>
  </w:style>
  <w:style w:type="paragraph" w:customStyle="1" w:styleId="FirstParagraph">
    <w:name w:val="First Paragraph"/>
    <w:basedOn w:val="BodyText"/>
    <w:next w:val="BodyText"/>
    <w:qFormat/>
    <w:rsid w:val="00C8745D"/>
  </w:style>
  <w:style w:type="paragraph" w:customStyle="1" w:styleId="Compact">
    <w:name w:val="Compact"/>
    <w:basedOn w:val="BodyText"/>
    <w:qFormat/>
    <w:pPr>
      <w:spacing w:before="36" w:after="36"/>
    </w:pPr>
  </w:style>
  <w:style w:type="paragraph" w:styleId="Title">
    <w:name w:val="Title"/>
    <w:basedOn w:val="Normal"/>
    <w:next w:val="BodyText"/>
    <w:qFormat/>
    <w:rsid w:val="003F6C6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8745D"/>
    <w:pPr>
      <w:keepNext/>
      <w:keepLines/>
      <w:spacing w:line="480" w:lineRule="auto"/>
    </w:pPr>
    <w:rPr>
      <w:rFonts w:ascii="Arial" w:hAnsi="Arial"/>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65F7A"/>
    <w:pPr>
      <w:spacing w:after="120"/>
      <w:ind w:left="720" w:hanging="720"/>
    </w:pPr>
    <w:rPr>
      <w:rFonts w:ascii="Arial" w:hAnsi="Arial" w:cs="Times New Roman (Body CS)"/>
      <w:color w:val="000000" w:themeColor="text1"/>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724B38"/>
    <w:pPr>
      <w:spacing w:after="120"/>
    </w:pPr>
    <w:rPr>
      <w:rFonts w:ascii="Arial" w:hAnsi="Arial" w:cs="Times New Roman (Body CS)"/>
      <w:sz w:val="18"/>
    </w:rPr>
  </w:style>
  <w:style w:type="paragraph" w:customStyle="1" w:styleId="TableCaption">
    <w:name w:val="Table Caption"/>
    <w:basedOn w:val="Caption"/>
    <w:rsid w:val="009D4973"/>
    <w:pPr>
      <w:keepNext/>
    </w:pPr>
    <w:rPr>
      <w:rFonts w:ascii="Times New Roman" w:hAnsi="Times New Roman"/>
      <w:b/>
      <w:i/>
      <w:color w:val="000000" w:themeColor="text1"/>
    </w:rPr>
  </w:style>
  <w:style w:type="paragraph" w:customStyle="1" w:styleId="ImageCaption">
    <w:name w:val="Image Caption"/>
    <w:basedOn w:val="Caption"/>
  </w:style>
  <w:style w:type="paragraph" w:customStyle="1" w:styleId="Figure">
    <w:name w:val="Figure"/>
    <w:basedOn w:val="Normal"/>
    <w:rsid w:val="00C8745D"/>
    <w:rPr>
      <w:rFonts w:ascii="Arial" w:hAnsi="Arial"/>
      <w:color w:val="000000" w:themeColor="text1"/>
      <w:sz w:val="20"/>
    </w:r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724B38"/>
    <w:rPr>
      <w:rFonts w:ascii="Arial" w:hAnsi="Arial" w:cs="Times New Roman (Body CS)"/>
      <w:sz w:val="18"/>
    </w:rPr>
  </w:style>
  <w:style w:type="character" w:customStyle="1" w:styleId="VerbatimChar">
    <w:name w:val="Verbatim Char"/>
    <w:basedOn w:val="CaptionChar"/>
    <w:link w:val="SourceCode"/>
    <w:rPr>
      <w:rFonts w:ascii="Consolas" w:hAnsi="Consolas" w:cs="Times New Roman (Body CS)"/>
      <w:sz w:val="22"/>
    </w:rPr>
  </w:style>
  <w:style w:type="character" w:customStyle="1" w:styleId="SectionNumber">
    <w:name w:val="Section Number"/>
    <w:basedOn w:val="CaptionChar"/>
    <w:rPr>
      <w:rFonts w:ascii="Arial" w:hAnsi="Arial" w:cs="Times New Roman (Body CS)"/>
      <w:sz w:val="20"/>
    </w:rPr>
  </w:style>
  <w:style w:type="character" w:styleId="FootnoteReference">
    <w:name w:val="footnote reference"/>
    <w:basedOn w:val="CaptionChar"/>
    <w:rPr>
      <w:rFonts w:ascii="Arial" w:hAnsi="Arial" w:cs="Times New Roman (Body CS)"/>
      <w:sz w:val="20"/>
      <w:vertAlign w:val="superscript"/>
    </w:rPr>
  </w:style>
  <w:style w:type="character" w:styleId="Hyperlink">
    <w:name w:val="Hyperlink"/>
    <w:basedOn w:val="CaptionChar"/>
    <w:rsid w:val="0066342A"/>
    <w:rPr>
      <w:rFonts w:ascii="Arial" w:hAnsi="Arial" w:cs="Times New Roman (Body CS)"/>
      <w:color w:val="4F81BD" w:themeColor="accent1"/>
      <w:sz w:val="22"/>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Body CS)"/>
      <w:b/>
      <w:color w:val="204A87"/>
      <w:sz w:val="22"/>
      <w:shd w:val="clear" w:color="auto" w:fill="F8F8F8"/>
    </w:rPr>
  </w:style>
  <w:style w:type="character" w:customStyle="1" w:styleId="DataTypeTok">
    <w:name w:val="DataTypeTok"/>
    <w:basedOn w:val="VerbatimChar"/>
    <w:rPr>
      <w:rFonts w:ascii="Consolas" w:hAnsi="Consolas" w:cs="Times New Roman (Body CS)"/>
      <w:color w:val="204A87"/>
      <w:sz w:val="22"/>
      <w:shd w:val="clear" w:color="auto" w:fill="F8F8F8"/>
    </w:rPr>
  </w:style>
  <w:style w:type="character" w:customStyle="1" w:styleId="DecValTok">
    <w:name w:val="DecValTok"/>
    <w:basedOn w:val="VerbatimChar"/>
    <w:rPr>
      <w:rFonts w:ascii="Consolas" w:hAnsi="Consolas" w:cs="Times New Roman (Body CS)"/>
      <w:color w:val="0000CF"/>
      <w:sz w:val="22"/>
      <w:shd w:val="clear" w:color="auto" w:fill="F8F8F8"/>
    </w:rPr>
  </w:style>
  <w:style w:type="character" w:customStyle="1" w:styleId="BaseNTok">
    <w:name w:val="BaseNTok"/>
    <w:basedOn w:val="VerbatimChar"/>
    <w:rPr>
      <w:rFonts w:ascii="Consolas" w:hAnsi="Consolas" w:cs="Times New Roman (Body CS)"/>
      <w:color w:val="0000CF"/>
      <w:sz w:val="22"/>
      <w:shd w:val="clear" w:color="auto" w:fill="F8F8F8"/>
    </w:rPr>
  </w:style>
  <w:style w:type="character" w:customStyle="1" w:styleId="FloatTok">
    <w:name w:val="FloatTok"/>
    <w:basedOn w:val="VerbatimChar"/>
    <w:rPr>
      <w:rFonts w:ascii="Consolas" w:hAnsi="Consolas" w:cs="Times New Roman (Body CS)"/>
      <w:color w:val="0000CF"/>
      <w:sz w:val="22"/>
      <w:shd w:val="clear" w:color="auto" w:fill="F8F8F8"/>
    </w:rPr>
  </w:style>
  <w:style w:type="character" w:customStyle="1" w:styleId="ConstantTok">
    <w:name w:val="ConstantTok"/>
    <w:basedOn w:val="VerbatimChar"/>
    <w:rPr>
      <w:rFonts w:ascii="Consolas" w:hAnsi="Consolas" w:cs="Times New Roman (Body CS)"/>
      <w:color w:val="8F5902"/>
      <w:sz w:val="22"/>
      <w:shd w:val="clear" w:color="auto" w:fill="F8F8F8"/>
    </w:rPr>
  </w:style>
  <w:style w:type="character" w:customStyle="1" w:styleId="CharTok">
    <w:name w:val="CharTok"/>
    <w:basedOn w:val="VerbatimChar"/>
    <w:rPr>
      <w:rFonts w:ascii="Consolas" w:hAnsi="Consolas" w:cs="Times New Roman (Body CS)"/>
      <w:color w:val="4E9A06"/>
      <w:sz w:val="22"/>
      <w:shd w:val="clear" w:color="auto" w:fill="F8F8F8"/>
    </w:rPr>
  </w:style>
  <w:style w:type="character" w:customStyle="1" w:styleId="SpecialCharTok">
    <w:name w:val="SpecialCharTok"/>
    <w:basedOn w:val="VerbatimChar"/>
    <w:rPr>
      <w:rFonts w:ascii="Consolas" w:hAnsi="Consolas" w:cs="Times New Roman (Body CS)"/>
      <w:b/>
      <w:color w:val="CE5C00"/>
      <w:sz w:val="22"/>
      <w:shd w:val="clear" w:color="auto" w:fill="F8F8F8"/>
    </w:rPr>
  </w:style>
  <w:style w:type="character" w:customStyle="1" w:styleId="StringTok">
    <w:name w:val="StringTok"/>
    <w:basedOn w:val="VerbatimChar"/>
    <w:rPr>
      <w:rFonts w:ascii="Consolas" w:hAnsi="Consolas" w:cs="Times New Roman (Body CS)"/>
      <w:color w:val="4E9A06"/>
      <w:sz w:val="22"/>
      <w:shd w:val="clear" w:color="auto" w:fill="F8F8F8"/>
    </w:rPr>
  </w:style>
  <w:style w:type="character" w:customStyle="1" w:styleId="VerbatimStringTok">
    <w:name w:val="VerbatimStringTok"/>
    <w:basedOn w:val="VerbatimChar"/>
    <w:rPr>
      <w:rFonts w:ascii="Consolas" w:hAnsi="Consolas" w:cs="Times New Roman (Body CS)"/>
      <w:color w:val="4E9A06"/>
      <w:sz w:val="22"/>
      <w:shd w:val="clear" w:color="auto" w:fill="F8F8F8"/>
    </w:rPr>
  </w:style>
  <w:style w:type="character" w:customStyle="1" w:styleId="SpecialStringTok">
    <w:name w:val="SpecialStringTok"/>
    <w:basedOn w:val="VerbatimChar"/>
    <w:rPr>
      <w:rFonts w:ascii="Consolas" w:hAnsi="Consolas" w:cs="Times New Roman (Body CS)"/>
      <w:color w:val="4E9A06"/>
      <w:sz w:val="22"/>
      <w:shd w:val="clear" w:color="auto" w:fill="F8F8F8"/>
    </w:rPr>
  </w:style>
  <w:style w:type="character" w:customStyle="1" w:styleId="ImportTok">
    <w:name w:val="ImportTok"/>
    <w:basedOn w:val="VerbatimChar"/>
    <w:rPr>
      <w:rFonts w:ascii="Consolas" w:hAnsi="Consolas" w:cs="Times New Roman (Body CS)"/>
      <w:sz w:val="22"/>
      <w:shd w:val="clear" w:color="auto" w:fill="F8F8F8"/>
    </w:rPr>
  </w:style>
  <w:style w:type="character" w:customStyle="1" w:styleId="CommentTok">
    <w:name w:val="CommentTok"/>
    <w:basedOn w:val="VerbatimChar"/>
    <w:rPr>
      <w:rFonts w:ascii="Consolas" w:hAnsi="Consolas" w:cs="Times New Roman (Body CS)"/>
      <w:i/>
      <w:color w:val="8F5902"/>
      <w:sz w:val="22"/>
      <w:shd w:val="clear" w:color="auto" w:fill="F8F8F8"/>
    </w:rPr>
  </w:style>
  <w:style w:type="character" w:customStyle="1" w:styleId="DocumentationTok">
    <w:name w:val="DocumentationTok"/>
    <w:basedOn w:val="VerbatimChar"/>
    <w:rPr>
      <w:rFonts w:ascii="Consolas" w:hAnsi="Consolas" w:cs="Times New Roman (Body CS)"/>
      <w:b/>
      <w:i/>
      <w:color w:val="8F5902"/>
      <w:sz w:val="22"/>
      <w:shd w:val="clear" w:color="auto" w:fill="F8F8F8"/>
    </w:rPr>
  </w:style>
  <w:style w:type="character" w:customStyle="1" w:styleId="AnnotationTok">
    <w:name w:val="AnnotationTok"/>
    <w:basedOn w:val="VerbatimChar"/>
    <w:rPr>
      <w:rFonts w:ascii="Consolas" w:hAnsi="Consolas" w:cs="Times New Roman (Body CS)"/>
      <w:b/>
      <w:i/>
      <w:color w:val="8F5902"/>
      <w:sz w:val="22"/>
      <w:shd w:val="clear" w:color="auto" w:fill="F8F8F8"/>
    </w:rPr>
  </w:style>
  <w:style w:type="character" w:customStyle="1" w:styleId="CommentVarTok">
    <w:name w:val="CommentVarTok"/>
    <w:basedOn w:val="VerbatimChar"/>
    <w:rPr>
      <w:rFonts w:ascii="Consolas" w:hAnsi="Consolas" w:cs="Times New Roman (Body CS)"/>
      <w:b/>
      <w:i/>
      <w:color w:val="8F5902"/>
      <w:sz w:val="22"/>
      <w:shd w:val="clear" w:color="auto" w:fill="F8F8F8"/>
    </w:rPr>
  </w:style>
  <w:style w:type="character" w:customStyle="1" w:styleId="OtherTok">
    <w:name w:val="OtherTok"/>
    <w:basedOn w:val="VerbatimChar"/>
    <w:rPr>
      <w:rFonts w:ascii="Consolas" w:hAnsi="Consolas" w:cs="Times New Roman (Body CS)"/>
      <w:color w:val="8F5902"/>
      <w:sz w:val="22"/>
      <w:shd w:val="clear" w:color="auto" w:fill="F8F8F8"/>
    </w:rPr>
  </w:style>
  <w:style w:type="character" w:customStyle="1" w:styleId="FunctionTok">
    <w:name w:val="FunctionTok"/>
    <w:basedOn w:val="VerbatimChar"/>
    <w:rPr>
      <w:rFonts w:ascii="Consolas" w:hAnsi="Consolas" w:cs="Times New Roman (Body CS)"/>
      <w:b/>
      <w:color w:val="204A87"/>
      <w:sz w:val="22"/>
      <w:shd w:val="clear" w:color="auto" w:fill="F8F8F8"/>
    </w:rPr>
  </w:style>
  <w:style w:type="character" w:customStyle="1" w:styleId="VariableTok">
    <w:name w:val="VariableTok"/>
    <w:basedOn w:val="VerbatimChar"/>
    <w:rPr>
      <w:rFonts w:ascii="Consolas" w:hAnsi="Consolas" w:cs="Times New Roman (Body CS)"/>
      <w:color w:val="000000"/>
      <w:sz w:val="22"/>
      <w:shd w:val="clear" w:color="auto" w:fill="F8F8F8"/>
    </w:rPr>
  </w:style>
  <w:style w:type="character" w:customStyle="1" w:styleId="ControlFlowTok">
    <w:name w:val="ControlFlowTok"/>
    <w:basedOn w:val="VerbatimChar"/>
    <w:rPr>
      <w:rFonts w:ascii="Consolas" w:hAnsi="Consolas" w:cs="Times New Roman (Body CS)"/>
      <w:b/>
      <w:color w:val="204A87"/>
      <w:sz w:val="22"/>
      <w:shd w:val="clear" w:color="auto" w:fill="F8F8F8"/>
    </w:rPr>
  </w:style>
  <w:style w:type="character" w:customStyle="1" w:styleId="OperatorTok">
    <w:name w:val="OperatorTok"/>
    <w:basedOn w:val="VerbatimChar"/>
    <w:rPr>
      <w:rFonts w:ascii="Consolas" w:hAnsi="Consolas" w:cs="Times New Roman (Body CS)"/>
      <w:b/>
      <w:color w:val="CE5C00"/>
      <w:sz w:val="22"/>
      <w:shd w:val="clear" w:color="auto" w:fill="F8F8F8"/>
    </w:rPr>
  </w:style>
  <w:style w:type="character" w:customStyle="1" w:styleId="BuiltInTok">
    <w:name w:val="BuiltInTok"/>
    <w:basedOn w:val="VerbatimChar"/>
    <w:rPr>
      <w:rFonts w:ascii="Consolas" w:hAnsi="Consolas" w:cs="Times New Roman (Body CS)"/>
      <w:sz w:val="22"/>
      <w:shd w:val="clear" w:color="auto" w:fill="F8F8F8"/>
    </w:rPr>
  </w:style>
  <w:style w:type="character" w:customStyle="1" w:styleId="ExtensionTok">
    <w:name w:val="ExtensionTok"/>
    <w:basedOn w:val="VerbatimChar"/>
    <w:rPr>
      <w:rFonts w:ascii="Consolas" w:hAnsi="Consolas" w:cs="Times New Roman (Body CS)"/>
      <w:sz w:val="22"/>
      <w:shd w:val="clear" w:color="auto" w:fill="F8F8F8"/>
    </w:rPr>
  </w:style>
  <w:style w:type="character" w:customStyle="1" w:styleId="PreprocessorTok">
    <w:name w:val="PreprocessorTok"/>
    <w:basedOn w:val="VerbatimChar"/>
    <w:rPr>
      <w:rFonts w:ascii="Consolas" w:hAnsi="Consolas" w:cs="Times New Roman (Body CS)"/>
      <w:i/>
      <w:color w:val="8F5902"/>
      <w:sz w:val="22"/>
      <w:shd w:val="clear" w:color="auto" w:fill="F8F8F8"/>
    </w:rPr>
  </w:style>
  <w:style w:type="character" w:customStyle="1" w:styleId="AttributeTok">
    <w:name w:val="AttributeTok"/>
    <w:basedOn w:val="VerbatimChar"/>
    <w:rPr>
      <w:rFonts w:ascii="Consolas" w:hAnsi="Consolas" w:cs="Times New Roman (Body CS)"/>
      <w:color w:val="204A87"/>
      <w:sz w:val="22"/>
      <w:shd w:val="clear" w:color="auto" w:fill="F8F8F8"/>
    </w:rPr>
  </w:style>
  <w:style w:type="character" w:customStyle="1" w:styleId="RegionMarkerTok">
    <w:name w:val="RegionMarkerTok"/>
    <w:basedOn w:val="VerbatimChar"/>
    <w:rPr>
      <w:rFonts w:ascii="Consolas" w:hAnsi="Consolas" w:cs="Times New Roman (Body CS)"/>
      <w:sz w:val="22"/>
      <w:shd w:val="clear" w:color="auto" w:fill="F8F8F8"/>
    </w:rPr>
  </w:style>
  <w:style w:type="character" w:customStyle="1" w:styleId="InformationTok">
    <w:name w:val="InformationTok"/>
    <w:basedOn w:val="VerbatimChar"/>
    <w:rPr>
      <w:rFonts w:ascii="Consolas" w:hAnsi="Consolas" w:cs="Times New Roman (Body CS)"/>
      <w:b/>
      <w:i/>
      <w:color w:val="8F5902"/>
      <w:sz w:val="22"/>
      <w:shd w:val="clear" w:color="auto" w:fill="F8F8F8"/>
    </w:rPr>
  </w:style>
  <w:style w:type="character" w:customStyle="1" w:styleId="WarningTok">
    <w:name w:val="WarningTok"/>
    <w:basedOn w:val="VerbatimChar"/>
    <w:rPr>
      <w:rFonts w:ascii="Consolas" w:hAnsi="Consolas" w:cs="Times New Roman (Body CS)"/>
      <w:b/>
      <w:i/>
      <w:color w:val="8F5902"/>
      <w:sz w:val="22"/>
      <w:shd w:val="clear" w:color="auto" w:fill="F8F8F8"/>
    </w:rPr>
  </w:style>
  <w:style w:type="character" w:customStyle="1" w:styleId="AlertTok">
    <w:name w:val="AlertTok"/>
    <w:basedOn w:val="VerbatimChar"/>
    <w:rPr>
      <w:rFonts w:ascii="Consolas" w:hAnsi="Consolas" w:cs="Times New Roman (Body CS)"/>
      <w:color w:val="EF2929"/>
      <w:sz w:val="22"/>
      <w:shd w:val="clear" w:color="auto" w:fill="F8F8F8"/>
    </w:rPr>
  </w:style>
  <w:style w:type="character" w:customStyle="1" w:styleId="ErrorTok">
    <w:name w:val="ErrorTok"/>
    <w:basedOn w:val="VerbatimChar"/>
    <w:rPr>
      <w:rFonts w:ascii="Consolas" w:hAnsi="Consolas" w:cs="Times New Roman (Body CS)"/>
      <w:b/>
      <w:color w:val="A40000"/>
      <w:sz w:val="22"/>
      <w:shd w:val="clear" w:color="auto" w:fill="F8F8F8"/>
    </w:rPr>
  </w:style>
  <w:style w:type="character" w:customStyle="1" w:styleId="NormalTok">
    <w:name w:val="NormalTok"/>
    <w:basedOn w:val="VerbatimChar"/>
    <w:rPr>
      <w:rFonts w:ascii="Consolas" w:hAnsi="Consolas" w:cs="Times New Roman (Body CS)"/>
      <w:sz w:val="22"/>
      <w:shd w:val="clear" w:color="auto" w:fill="F8F8F8"/>
    </w:rPr>
  </w:style>
  <w:style w:type="paragraph" w:styleId="Header">
    <w:name w:val="header"/>
    <w:basedOn w:val="Normal"/>
    <w:link w:val="HeaderChar"/>
    <w:rsid w:val="009D4973"/>
    <w:pPr>
      <w:tabs>
        <w:tab w:val="center" w:pos="4680"/>
        <w:tab w:val="right" w:pos="9360"/>
      </w:tabs>
      <w:spacing w:after="0"/>
    </w:pPr>
    <w:rPr>
      <w:color w:val="000000" w:themeColor="text1"/>
    </w:rPr>
  </w:style>
  <w:style w:type="character" w:customStyle="1" w:styleId="HeaderChar">
    <w:name w:val="Header Char"/>
    <w:basedOn w:val="DefaultParagraphFont"/>
    <w:link w:val="Header"/>
    <w:rsid w:val="009D4973"/>
    <w:rPr>
      <w:color w:val="000000" w:themeColor="text1"/>
    </w:rPr>
  </w:style>
  <w:style w:type="paragraph" w:styleId="PlainText">
    <w:name w:val="Plain Text"/>
    <w:basedOn w:val="Normal"/>
    <w:link w:val="PlainTextChar"/>
    <w:rsid w:val="009D4973"/>
    <w:pPr>
      <w:spacing w:after="0"/>
    </w:pPr>
    <w:rPr>
      <w:rFonts w:ascii="Arial" w:hAnsi="Arial" w:cs="Consolas"/>
      <w:szCs w:val="21"/>
    </w:rPr>
  </w:style>
  <w:style w:type="character" w:customStyle="1" w:styleId="PlainTextChar">
    <w:name w:val="Plain Text Char"/>
    <w:basedOn w:val="DefaultParagraphFont"/>
    <w:link w:val="PlainText"/>
    <w:rsid w:val="009D4973"/>
    <w:rPr>
      <w:rFonts w:ascii="Arial" w:hAnsi="Arial" w:cs="Consolas"/>
      <w:szCs w:val="21"/>
    </w:rPr>
  </w:style>
  <w:style w:type="character" w:styleId="BookTitle">
    <w:name w:val="Book Title"/>
    <w:basedOn w:val="DefaultParagraphFont"/>
    <w:rsid w:val="00C8745D"/>
    <w:rPr>
      <w:rFonts w:ascii="Arial" w:hAnsi="Arial"/>
      <w:b/>
      <w:bCs/>
      <w:i w:val="0"/>
      <w:iCs/>
      <w:color w:val="000000" w:themeColor="text1"/>
      <w:spacing w:val="5"/>
      <w:sz w:val="24"/>
    </w:rPr>
  </w:style>
  <w:style w:type="paragraph" w:customStyle="1" w:styleId="Style1">
    <w:name w:val="Style1"/>
    <w:basedOn w:val="FirstParagraph"/>
    <w:qFormat/>
    <w:rsid w:val="00C8745D"/>
  </w:style>
  <w:style w:type="paragraph" w:styleId="Footer">
    <w:name w:val="footer"/>
    <w:basedOn w:val="Normal"/>
    <w:link w:val="FooterChar"/>
    <w:rsid w:val="003F6C67"/>
    <w:pPr>
      <w:tabs>
        <w:tab w:val="center" w:pos="4680"/>
        <w:tab w:val="right" w:pos="9360"/>
      </w:tabs>
      <w:spacing w:after="0"/>
    </w:pPr>
  </w:style>
  <w:style w:type="character" w:customStyle="1" w:styleId="FooterChar">
    <w:name w:val="Footer Char"/>
    <w:basedOn w:val="DefaultParagraphFont"/>
    <w:link w:val="Footer"/>
    <w:rsid w:val="003F6C67"/>
  </w:style>
  <w:style w:type="character" w:styleId="PageNumber">
    <w:name w:val="page number"/>
    <w:basedOn w:val="DefaultParagraphFont"/>
    <w:rsid w:val="003F6C67"/>
  </w:style>
  <w:style w:type="character" w:styleId="FollowedHyperlink">
    <w:name w:val="FollowedHyperlink"/>
    <w:basedOn w:val="DefaultParagraphFont"/>
    <w:rsid w:val="00D425AA"/>
    <w:rPr>
      <w:color w:val="0070C0"/>
      <w:u w:val="single"/>
    </w:rPr>
  </w:style>
  <w:style w:type="character" w:styleId="LineNumber">
    <w:name w:val="line number"/>
    <w:basedOn w:val="DefaultParagraphFont"/>
    <w:rsid w:val="00BB2892"/>
    <w:rPr>
      <w:rFonts w:ascii="Arial" w:hAnsi="Arial"/>
      <w:color w:val="000000" w:themeColor="text1"/>
      <w:sz w:val="16"/>
    </w:rPr>
  </w:style>
  <w:style w:type="numbering" w:customStyle="1" w:styleId="CurrentList1">
    <w:name w:val="Current List1"/>
    <w:uiPriority w:val="99"/>
    <w:rsid w:val="001B49E0"/>
    <w:pPr>
      <w:numPr>
        <w:numId w:val="3"/>
      </w:numPr>
    </w:pPr>
  </w:style>
  <w:style w:type="paragraph" w:customStyle="1" w:styleId="Style2">
    <w:name w:val="Style2"/>
    <w:basedOn w:val="Heading2"/>
    <w:qFormat/>
    <w:rsid w:val="0066342A"/>
  </w:style>
  <w:style w:type="paragraph" w:customStyle="1" w:styleId="Style3">
    <w:name w:val="Style3"/>
    <w:basedOn w:val="Heading2"/>
    <w:autoRedefine/>
    <w:qFormat/>
    <w:rsid w:val="0066342A"/>
  </w:style>
  <w:style w:type="paragraph" w:customStyle="1" w:styleId="Style4">
    <w:name w:val="Style4"/>
    <w:basedOn w:val="Heading2"/>
    <w:autoRedefine/>
    <w:qFormat/>
    <w:rsid w:val="0066342A"/>
    <w:rPr>
      <w:rFonts w:cs="Times New Roman (Headings CS)"/>
    </w:rPr>
  </w:style>
  <w:style w:type="paragraph" w:customStyle="1" w:styleId="Style5">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s42003-020-0849-9" TargetMode="External"/><Relationship Id="rId21" Type="http://schemas.openxmlformats.org/officeDocument/2006/relationships/hyperlink" Target="https://doi.org/10.1016/B978-0-12-800276-6.00003-6" TargetMode="External"/><Relationship Id="rId42" Type="http://schemas.openxmlformats.org/officeDocument/2006/relationships/hyperlink" Target="https://doi.org/10.5281/ZENODO.7598955" TargetMode="Externa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16" Type="http://schemas.openxmlformats.org/officeDocument/2006/relationships/hyperlink" Target="https://doi.org/10.1016/B978-012220360-2/50018-0" TargetMode="External"/><Relationship Id="rId11" Type="http://schemas.openxmlformats.org/officeDocument/2006/relationships/hyperlink" Target="http://www.ncbi.nlm.nih.gov/geo" TargetMode="External"/><Relationship Id="rId32" Type="http://schemas.openxmlformats.org/officeDocument/2006/relationships/hyperlink" Target="https://doi.org/10.1038/nature11233" TargetMode="External"/><Relationship Id="rId37" Type="http://schemas.openxmlformats.org/officeDocument/2006/relationships/hyperlink" Target="https://doi.org/10.1101/gad.10.12.1557"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19.png"/><Relationship Id="rId19" Type="http://schemas.openxmlformats.org/officeDocument/2006/relationships/hyperlink" Target="https://doi.org/10.1016/j.jviromet.2009.10.007" TargetMode="External"/><Relationship Id="rId14" Type="http://schemas.openxmlformats.org/officeDocument/2006/relationships/hyperlink" Target="https://doi.org/10.1016/B978-012374410-4.00680-4" TargetMode="External"/><Relationship Id="rId22" Type="http://schemas.openxmlformats.org/officeDocument/2006/relationships/hyperlink" Target="http://scholar.lib.vt.edu/theses/available/etd-08142006-145339/" TargetMode="External"/><Relationship Id="rId27" Type="http://schemas.openxmlformats.org/officeDocument/2006/relationships/hyperlink" Target="https://doi.org/10.1016/j.virol.2014.04.006" TargetMode="External"/><Relationship Id="rId30" Type="http://schemas.openxmlformats.org/officeDocument/2006/relationships/hyperlink" Target="https://doi.org/10.1128/jvi.00107-10" TargetMode="External"/><Relationship Id="rId35" Type="http://schemas.openxmlformats.org/officeDocument/2006/relationships/hyperlink" Target="https://doi.org/10.18129/B9.BIOC.BALLGOWN" TargetMode="External"/><Relationship Id="rId43" Type="http://schemas.openxmlformats.org/officeDocument/2006/relationships/image" Target="media/image1.png"/><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hyperlink" Target="http://www.ncbi.nlm.nih.gov/geo" TargetMode="External"/><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Abraham-Quaye/thev_transcriptome" TargetMode="External"/><Relationship Id="rId17" Type="http://schemas.openxmlformats.org/officeDocument/2006/relationships/hyperlink" Target="https://doi.org/10.1016/j.meegid.2011.03.021" TargetMode="External"/><Relationship Id="rId25" Type="http://schemas.openxmlformats.org/officeDocument/2006/relationships/hyperlink" Target="https://doi.org/10.1080/01652176.2016.1277281" TargetMode="External"/><Relationship Id="rId33" Type="http://schemas.openxmlformats.org/officeDocument/2006/relationships/hyperlink" Target="https://www.sciencedirect.com/science/article/abs/pii/S016817021830529X?via%3Dihub" TargetMode="External"/><Relationship Id="rId38" Type="http://schemas.openxmlformats.org/officeDocument/2006/relationships/hyperlink" Target="https://doi.org/10.2741/3059"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https://doi.org/10.1016/j.virusres.2009.04.012" TargetMode="External"/><Relationship Id="rId41" Type="http://schemas.openxmlformats.org/officeDocument/2006/relationships/hyperlink" Target="https://doi.org/10.12688/f1000research.29032.2"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28/jvi.77.13.7590-7600.2003" TargetMode="External"/><Relationship Id="rId23" Type="http://schemas.openxmlformats.org/officeDocument/2006/relationships/hyperlink" Target="https://doi.org/10.1099/vir.0.010090-0" TargetMode="External"/><Relationship Id="rId28" Type="http://schemas.openxmlformats.org/officeDocument/2006/relationships/hyperlink" Target="https://doi.org/10.1111/cmi.12053" TargetMode="External"/><Relationship Id="rId36" Type="http://schemas.openxmlformats.org/officeDocument/2006/relationships/hyperlink" Target="https://doi.org/10.1006/viro.1998.9336"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www.ncbi.nlm.nih.gov/genome/?term=Meleagris+gallopavo" TargetMode="External"/><Relationship Id="rId31" Type="http://schemas.openxmlformats.org/officeDocument/2006/relationships/hyperlink" Target="https://doi.org/10.1128/jvi.01869-20" TargetMode="Externa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cbi.nlm.nih.gov/nuccore/AY849321.1/" TargetMode="External"/><Relationship Id="rId13" Type="http://schemas.openxmlformats.org/officeDocument/2006/relationships/hyperlink" Target="https://doi.org/10.1099/vir.0.19497-0" TargetMode="External"/><Relationship Id="rId18" Type="http://schemas.openxmlformats.org/officeDocument/2006/relationships/hyperlink" Target="https://doi.org/10.1099/0022-1317-81-10-2431" TargetMode="External"/><Relationship Id="rId39" Type="http://schemas.openxmlformats.org/officeDocument/2006/relationships/hyperlink" Target="https://doi.org/10.1016/j.jviromet.2016.11.002" TargetMode="External"/><Relationship Id="rId34" Type="http://schemas.openxmlformats.org/officeDocument/2006/relationships/hyperlink" Target="https://doi.org/10.1038/nprot.2016.095"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7" Type="http://schemas.openxmlformats.org/officeDocument/2006/relationships/hyperlink" Target="mailto:brian_poole@byu.edu" TargetMode="External"/><Relationship Id="rId71"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s://doi.org/10.1128/jvi.45.1.185-191.1983" TargetMode="External"/><Relationship Id="rId24" Type="http://schemas.openxmlformats.org/officeDocument/2006/relationships/hyperlink" Target="https://doi.org/10.1016/s0145-305x(99)00075-0" TargetMode="External"/><Relationship Id="rId40" Type="http://schemas.openxmlformats.org/officeDocument/2006/relationships/hyperlink" Target="https://doi.org/10.1101/pdb.prot095216" TargetMode="External"/><Relationship Id="rId45" Type="http://schemas.openxmlformats.org/officeDocument/2006/relationships/image" Target="media/image3.png"/><Relationship Id="rId66"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55</Pages>
  <Words>12605</Words>
  <Characters>71850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84287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Characterizing the Transcriptome of Turkey Hemorrhagic Enteritis Virus in a Turkey B-cell Line</dc:title>
  <dc:creator/>
  <cp:keywords/>
  <cp:lastModifiedBy>Abraham Quaye</cp:lastModifiedBy>
  <cp:revision>2</cp:revision>
  <dcterms:created xsi:type="dcterms:W3CDTF">2024-02-24T00:29:00Z</dcterms:created>
  <dcterms:modified xsi:type="dcterms:W3CDTF">2024-02-24T00:59:00Z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